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0509E467" w:rsidR="007A5B38" w:rsidRPr="000C5734" w:rsidRDefault="000C5734" w:rsidP="007A5B38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>3GPP TSG RAN WG1 Meeting AH 1801</w:t>
      </w:r>
      <w:r w:rsidR="007A5B38" w:rsidRPr="000C5734">
        <w:rPr>
          <w:lang w:val="en-US"/>
        </w:rPr>
        <w:tab/>
      </w:r>
      <w:r w:rsidR="0008265F" w:rsidRPr="0008265F">
        <w:rPr>
          <w:lang w:val="en-US"/>
        </w:rPr>
        <w:t>R1-1800708</w:t>
      </w:r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4E1B91E6" w14:textId="45F6E8E6" w:rsidR="00FF387C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0C0D7B">
        <w:t>Corrections related to</w:t>
      </w:r>
      <w:r w:rsidR="000D74EB">
        <w:t xml:space="preserve"> S</w:t>
      </w:r>
      <w:r w:rsidR="00FF387C">
        <w:t>RS</w:t>
      </w:r>
    </w:p>
    <w:p w14:paraId="2D554DE3" w14:textId="70654C13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CC5371">
        <w:t>7.2</w:t>
      </w:r>
      <w:r w:rsidR="00874B9D">
        <w:t>.3.5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4F164EB7" w:rsidR="00E90E49" w:rsidRDefault="007F75D5" w:rsidP="00CE0424">
      <w:pPr>
        <w:pStyle w:val="Heading1"/>
      </w:pPr>
      <w:r>
        <w:t>Introduction</w:t>
      </w:r>
    </w:p>
    <w:p w14:paraId="5F05F231" w14:textId="43981A34" w:rsidR="00CE6964" w:rsidRDefault="00BA1423" w:rsidP="00CE6964">
      <w:pPr>
        <w:pStyle w:val="BodyText"/>
      </w:pPr>
      <w:r w:rsidRPr="0036514D">
        <w:t xml:space="preserve">In this contribution, we discuss </w:t>
      </w:r>
      <w:r>
        <w:t xml:space="preserve">corrections of </w:t>
      </w:r>
      <w:r w:rsidRPr="0036514D">
        <w:t xml:space="preserve">aspects related with the design of the </w:t>
      </w:r>
      <w:r>
        <w:t>Sounding</w:t>
      </w:r>
      <w:r w:rsidRPr="0036514D">
        <w:t xml:space="preserve"> Reference Signal (</w:t>
      </w:r>
      <w:r>
        <w:t>S</w:t>
      </w:r>
      <w:r w:rsidRPr="0036514D">
        <w:t>RS)</w:t>
      </w:r>
      <w:r>
        <w:t xml:space="preserve">. The corrections and proposals are based on </w:t>
      </w:r>
      <w:r w:rsidR="00CE6964">
        <w:t xml:space="preserve">the latest version of TS 38.211 </w:t>
      </w:r>
      <w:r w:rsidR="00CE6964">
        <w:fldChar w:fldCharType="begin"/>
      </w:r>
      <w:r w:rsidR="00CE6964">
        <w:instrText xml:space="preserve"> REF _Ref503285570 \r \h </w:instrText>
      </w:r>
      <w:r w:rsidR="00CE6964">
        <w:fldChar w:fldCharType="separate"/>
      </w:r>
      <w:r w:rsidR="00CE6964">
        <w:t>[1]</w:t>
      </w:r>
      <w:r w:rsidR="00CE6964">
        <w:fldChar w:fldCharType="end"/>
      </w:r>
      <w:r w:rsidR="00CE6964">
        <w:t>.</w:t>
      </w:r>
    </w:p>
    <w:p w14:paraId="0E9A25D1" w14:textId="1953C674" w:rsidR="005A6E6C" w:rsidRDefault="00850E4A" w:rsidP="00CE6964">
      <w:pPr>
        <w:pStyle w:val="Heading1"/>
      </w:pPr>
      <w:r>
        <w:t>Corrections to TS 38.211 related to SRS</w:t>
      </w:r>
    </w:p>
    <w:p w14:paraId="3DF109E9" w14:textId="1071646C" w:rsidR="00EF6C02" w:rsidRDefault="00EF6C02" w:rsidP="00EF6C02">
      <w:pPr>
        <w:pStyle w:val="Heading2"/>
      </w:pPr>
      <w:r>
        <w:t>Section 6.4.1.4.1 SRS resource</w:t>
      </w:r>
    </w:p>
    <w:p w14:paraId="692648EA" w14:textId="16EBE7C4" w:rsidR="00EF6C02" w:rsidRPr="00EF6C02" w:rsidRDefault="00EF6C02" w:rsidP="00EF6C02">
      <w:r>
        <w:t xml:space="preserve">The starting position of the SRS resource in the time domain is defined in TS 38.211 [1] as follows: </w:t>
      </w:r>
    </w:p>
    <w:p w14:paraId="407F1AEF" w14:textId="77777777" w:rsidR="00EF6C02" w:rsidRPr="00EF6C02" w:rsidRDefault="00EF6C02" w:rsidP="00EF6C02">
      <w:pPr>
        <w:pStyle w:val="B1"/>
        <w:rPr>
          <w:rFonts w:eastAsia="Malgun Gothic"/>
          <w:color w:val="4F81BD" w:themeColor="accent1"/>
        </w:rPr>
      </w:pPr>
      <w:r w:rsidRPr="00EF6C02">
        <w:rPr>
          <w:rFonts w:eastAsia="Malgun Gothic"/>
          <w:color w:val="4F81BD" w:themeColor="accent1"/>
        </w:rPr>
        <w:t>-</w:t>
      </w:r>
      <w:r w:rsidRPr="00EF6C02">
        <w:rPr>
          <w:rFonts w:eastAsia="Malgun Gothic"/>
          <w:color w:val="4F81BD" w:themeColor="accent1"/>
        </w:rPr>
        <w:tab/>
      </w:r>
      <w:r w:rsidRPr="00EF6C02">
        <w:rPr>
          <w:color w:val="4F81BD" w:themeColor="accent1"/>
          <w:position w:val="-10"/>
        </w:rPr>
        <w:object w:dxaOrig="200" w:dyaOrig="300" w14:anchorId="6FAC4F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9pt;height:15.55pt" o:ole="">
            <v:imagedata r:id="rId13" o:title=""/>
          </v:shape>
          <o:OLEObject Type="Embed" ProgID="Equation.3" ShapeID="_x0000_i1025" DrawAspect="Content" ObjectID="_1577289218" r:id="rId14"/>
        </w:object>
      </w:r>
      <w:r w:rsidRPr="00EF6C02">
        <w:rPr>
          <w:color w:val="4F81BD" w:themeColor="accent1"/>
        </w:rPr>
        <w:t xml:space="preserve">, </w:t>
      </w:r>
      <w:r w:rsidRPr="00EF6C02">
        <w:rPr>
          <w:rFonts w:eastAsia="Malgun Gothic"/>
          <w:color w:val="4F81BD" w:themeColor="accent1"/>
        </w:rPr>
        <w:t xml:space="preserve">the starting position in the time domain contained in the higher layer parameter </w:t>
      </w:r>
      <w:r w:rsidRPr="00EF6C02">
        <w:rPr>
          <w:rFonts w:eastAsia="Malgun Gothic"/>
          <w:i/>
          <w:color w:val="4F81BD" w:themeColor="accent1"/>
        </w:rPr>
        <w:t>SRS-</w:t>
      </w:r>
      <w:proofErr w:type="spellStart"/>
      <w:r w:rsidRPr="00EF6C02">
        <w:rPr>
          <w:rFonts w:eastAsia="Malgun Gothic"/>
          <w:i/>
          <w:color w:val="4F81BD" w:themeColor="accent1"/>
        </w:rPr>
        <w:t>ResourceMapping</w:t>
      </w:r>
      <w:proofErr w:type="spellEnd"/>
    </w:p>
    <w:p w14:paraId="45187659" w14:textId="24DA268F" w:rsidR="00EF6C02" w:rsidRDefault="00777A2B" w:rsidP="00EF6C02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S</w:t>
      </w:r>
      <w:r w:rsidR="00EF6C02">
        <w:rPr>
          <w:b w:val="0"/>
        </w:rPr>
        <w:t>ince the SRS resource is contained within the last 6 symbols of the slot</w:t>
      </w:r>
      <w:r>
        <w:rPr>
          <w:b w:val="0"/>
        </w:rPr>
        <w:t xml:space="preserve">, </w:t>
      </w:r>
      <w:r w:rsidR="00EF6C02">
        <w:rPr>
          <w:b w:val="0"/>
        </w:rPr>
        <w:t>what</w:t>
      </w:r>
      <w:r w:rsidR="00EF6C02" w:rsidRPr="00F54A0A">
        <w:rPr>
          <w:b w:val="0"/>
        </w:rPr>
        <w:t xml:space="preserve"> is</w:t>
      </w:r>
      <w:r>
        <w:rPr>
          <w:b w:val="0"/>
        </w:rPr>
        <w:t xml:space="preserve"> specifically configured</w:t>
      </w:r>
      <w:r w:rsidR="00EF6C02" w:rsidRPr="00F54A0A">
        <w:rPr>
          <w:b w:val="0"/>
        </w:rPr>
        <w:t xml:space="preserve"> by the high layer parameter </w:t>
      </w:r>
      <w:r w:rsidR="00EF6C02" w:rsidRPr="00F54A0A">
        <w:rPr>
          <w:b w:val="0"/>
          <w:i/>
        </w:rPr>
        <w:t>SRS-</w:t>
      </w:r>
      <w:proofErr w:type="spellStart"/>
      <w:r w:rsidR="00EF6C02" w:rsidRPr="00F54A0A">
        <w:rPr>
          <w:b w:val="0"/>
          <w:i/>
        </w:rPr>
        <w:t>ResourceMapping</w:t>
      </w:r>
      <w:proofErr w:type="spellEnd"/>
      <w:r>
        <w:rPr>
          <w:b w:val="0"/>
        </w:rPr>
        <w:t xml:space="preserve"> is an offset</w:t>
      </w:r>
      <w:r w:rsidR="00EF6C02" w:rsidRPr="00F54A0A">
        <w:rPr>
          <w:b w:val="0"/>
        </w:rPr>
        <w:t xml:space="preserve"> </w:t>
      </w:r>
      <w:r w:rsidRPr="00F54A0A">
        <w:rPr>
          <w:b w:val="0"/>
          <w:position w:val="-12"/>
        </w:rPr>
        <w:object w:dxaOrig="1520" w:dyaOrig="360" w14:anchorId="7D0E85F8">
          <v:shape id="_x0000_i1026" type="#_x0000_t75" style="width:75.55pt;height:18.35pt" o:ole="">
            <v:imagedata r:id="rId15" o:title=""/>
          </v:shape>
          <o:OLEObject Type="Embed" ProgID="Equation.3" ShapeID="_x0000_i1026" DrawAspect="Content" ObjectID="_1577289219" r:id="rId16"/>
        </w:object>
      </w:r>
      <w:r w:rsidRPr="00F54A0A">
        <w:rPr>
          <w:b w:val="0"/>
        </w:rPr>
        <w:t xml:space="preserve"> </w:t>
      </w:r>
      <w:r>
        <w:rPr>
          <w:b w:val="0"/>
        </w:rPr>
        <w:t xml:space="preserve">which </w:t>
      </w:r>
      <w:r w:rsidRPr="00F54A0A">
        <w:rPr>
          <w:b w:val="0"/>
        </w:rPr>
        <w:t>is counting symbols backwards from the end of the slot</w:t>
      </w:r>
      <w:r>
        <w:rPr>
          <w:b w:val="0"/>
        </w:rPr>
        <w:t xml:space="preserve"> until the intended starting position of the SRS resource. Using this offset, the </w:t>
      </w:r>
      <w:r w:rsidRPr="00F54A0A">
        <w:rPr>
          <w:b w:val="0"/>
        </w:rPr>
        <w:t>starting position of the SR</w:t>
      </w:r>
      <w:r>
        <w:rPr>
          <w:b w:val="0"/>
        </w:rPr>
        <w:t>S resource in the time domain can be determined by the formula</w:t>
      </w:r>
    </w:p>
    <w:p w14:paraId="243B94EA" w14:textId="6286E3F8" w:rsidR="00777A2B" w:rsidRDefault="00E6444F" w:rsidP="00777A2B">
      <w:pPr>
        <w:pStyle w:val="Proposal"/>
        <w:numPr>
          <w:ilvl w:val="0"/>
          <w:numId w:val="0"/>
        </w:numPr>
        <w:jc w:val="center"/>
        <w:rPr>
          <w:b w:val="0"/>
        </w:rPr>
      </w:pPr>
      <w:r w:rsidRPr="00F54A0A">
        <w:rPr>
          <w:b w:val="0"/>
          <w:position w:val="-14"/>
        </w:rPr>
        <w:object w:dxaOrig="1719" w:dyaOrig="380" w14:anchorId="0A79F3A6">
          <v:shape id="_x0000_i1070" type="#_x0000_t75" style="width:85.4pt;height:18.35pt" o:ole="">
            <v:imagedata r:id="rId17" o:title=""/>
          </v:shape>
          <o:OLEObject Type="Embed" ProgID="Equation.3" ShapeID="_x0000_i1070" DrawAspect="Content" ObjectID="_1577289220" r:id="rId18"/>
        </w:object>
      </w:r>
      <w:r w:rsidR="00777A2B">
        <w:rPr>
          <w:b w:val="0"/>
        </w:rPr>
        <w:t>.</w:t>
      </w:r>
    </w:p>
    <w:p w14:paraId="2D7E7F05" w14:textId="1F8ACDF7" w:rsidR="00777A2B" w:rsidRDefault="00777A2B" w:rsidP="00777A2B">
      <w:pPr>
        <w:pStyle w:val="Proposal"/>
      </w:pPr>
      <w:r>
        <w:t>Modify the paragraph</w:t>
      </w:r>
      <w:r w:rsidR="00EC0FEC">
        <w:t xml:space="preserve"> which defines the starting position of the</w:t>
      </w:r>
      <w:r>
        <w:t xml:space="preserve"> </w:t>
      </w:r>
      <w:r w:rsidR="00EC0FEC">
        <w:t xml:space="preserve">SRS resource in the time domain, </w:t>
      </w:r>
      <w:r>
        <w:t>in Section 6.4.1.4.1 of TS 38.211 as</w:t>
      </w:r>
    </w:p>
    <w:p w14:paraId="68DBA56D" w14:textId="77777777" w:rsidR="00777A2B" w:rsidRPr="007B65CE" w:rsidRDefault="00777A2B" w:rsidP="00777A2B">
      <w:r w:rsidRPr="007B65CE">
        <w:rPr>
          <w:highlight w:val="yellow"/>
        </w:rPr>
        <w:t>&gt;&gt;&gt;&gt;&gt;&gt;&gt;&gt;&gt;&gt;&gt;&gt; Start text proposal &gt;&gt;&gt;&gt;&gt;&gt;&gt;&gt;&gt;&gt;&gt;&gt;</w:t>
      </w:r>
    </w:p>
    <w:p w14:paraId="6E44F4F5" w14:textId="5E643E9F" w:rsidR="00777A2B" w:rsidRPr="007B65CE" w:rsidRDefault="00777A2B" w:rsidP="00777A2B">
      <w:pPr>
        <w:pStyle w:val="B1"/>
        <w:rPr>
          <w:rFonts w:eastAsia="Malgun Gothic"/>
          <w:color w:val="FF0000"/>
        </w:rPr>
      </w:pPr>
      <w:r w:rsidRPr="007B65CE">
        <w:rPr>
          <w:rFonts w:eastAsia="Malgun Gothic"/>
          <w:color w:val="FF0000"/>
        </w:rPr>
        <w:t>-</w:t>
      </w:r>
      <w:r w:rsidRPr="007B65CE">
        <w:rPr>
          <w:rFonts w:eastAsia="Malgun Gothic"/>
          <w:color w:val="FF0000"/>
        </w:rPr>
        <w:tab/>
      </w:r>
      <w:r w:rsidRPr="007B65CE">
        <w:rPr>
          <w:color w:val="FF0000"/>
          <w:position w:val="-10"/>
        </w:rPr>
        <w:object w:dxaOrig="200" w:dyaOrig="300" w14:anchorId="70650385">
          <v:shape id="_x0000_i1028" type="#_x0000_t75" style="width:9.9pt;height:15.55pt" o:ole="">
            <v:imagedata r:id="rId13" o:title=""/>
          </v:shape>
          <o:OLEObject Type="Embed" ProgID="Equation.3" ShapeID="_x0000_i1028" DrawAspect="Content" ObjectID="_1577289221" r:id="rId19"/>
        </w:object>
      </w:r>
      <w:r w:rsidRPr="007B65CE">
        <w:rPr>
          <w:color w:val="FF0000"/>
        </w:rPr>
        <w:t xml:space="preserve">, </w:t>
      </w:r>
      <w:r w:rsidRPr="007B65CE">
        <w:rPr>
          <w:rFonts w:eastAsia="Malgun Gothic"/>
          <w:color w:val="FF0000"/>
        </w:rPr>
        <w:t xml:space="preserve">the starting position </w:t>
      </w:r>
      <w:r w:rsidR="00F360B9">
        <w:rPr>
          <w:rFonts w:eastAsia="Malgun Gothic"/>
          <w:color w:val="FF0000"/>
        </w:rPr>
        <w:t xml:space="preserve">within a slot </w:t>
      </w:r>
      <w:r w:rsidRPr="007B65CE">
        <w:rPr>
          <w:color w:val="FF0000"/>
        </w:rPr>
        <w:t xml:space="preserve">of the SRS resource </w:t>
      </w:r>
      <w:r w:rsidRPr="007B65CE">
        <w:rPr>
          <w:rFonts w:eastAsia="Malgun Gothic"/>
          <w:color w:val="FF0000"/>
        </w:rPr>
        <w:t xml:space="preserve">in the time domain </w:t>
      </w:r>
      <w:r w:rsidRPr="007B65CE">
        <w:rPr>
          <w:color w:val="FF0000"/>
        </w:rPr>
        <w:t xml:space="preserve">is </w:t>
      </w:r>
      <w:r w:rsidR="00E6444F" w:rsidRPr="007B65CE">
        <w:rPr>
          <w:color w:val="FF0000"/>
          <w:position w:val="-14"/>
        </w:rPr>
        <w:object w:dxaOrig="1700" w:dyaOrig="380" w14:anchorId="5963E1E9">
          <v:shape id="_x0000_i1072" type="#_x0000_t75" style="width:84.7pt;height:18.35pt" o:ole="">
            <v:imagedata r:id="rId20" o:title=""/>
          </v:shape>
          <o:OLEObject Type="Embed" ProgID="Equation.3" ShapeID="_x0000_i1072" DrawAspect="Content" ObjectID="_1577289222" r:id="rId21"/>
        </w:object>
      </w:r>
      <w:r w:rsidRPr="007B65CE">
        <w:rPr>
          <w:color w:val="FF0000"/>
        </w:rPr>
        <w:t xml:space="preserve">, </w:t>
      </w:r>
      <w:r w:rsidR="000D2C82" w:rsidRPr="007B65CE">
        <w:rPr>
          <w:color w:val="FF0000"/>
        </w:rPr>
        <w:t>where the</w:t>
      </w:r>
      <w:r w:rsidR="007B65CE" w:rsidRPr="007B65CE">
        <w:rPr>
          <w:color w:val="FF0000"/>
        </w:rPr>
        <w:t xml:space="preserve"> offset </w:t>
      </w:r>
      <w:r w:rsidRPr="007B65CE">
        <w:rPr>
          <w:color w:val="FF0000"/>
          <w:position w:val="-12"/>
        </w:rPr>
        <w:object w:dxaOrig="1520" w:dyaOrig="360" w14:anchorId="67DE9783">
          <v:shape id="_x0000_i1030" type="#_x0000_t75" style="width:75.55pt;height:18.35pt" o:ole="">
            <v:imagedata r:id="rId15" o:title=""/>
          </v:shape>
          <o:OLEObject Type="Embed" ProgID="Equation.3" ShapeID="_x0000_i1030" DrawAspect="Content" ObjectID="_1577289223" r:id="rId22"/>
        </w:object>
      </w:r>
      <w:r w:rsidRPr="007B65CE">
        <w:rPr>
          <w:color w:val="FF0000"/>
        </w:rPr>
        <w:t xml:space="preserve"> </w:t>
      </w:r>
      <w:r w:rsidR="00D56BFE">
        <w:rPr>
          <w:color w:val="FF0000"/>
        </w:rPr>
        <w:t>counts</w:t>
      </w:r>
      <w:r w:rsidRPr="007B65CE">
        <w:rPr>
          <w:color w:val="FF0000"/>
        </w:rPr>
        <w:t xml:space="preserve"> symbols backwards from the end of the slot </w:t>
      </w:r>
      <w:r w:rsidR="007B65CE">
        <w:rPr>
          <w:color w:val="FF0000"/>
        </w:rPr>
        <w:t xml:space="preserve">and it is </w:t>
      </w:r>
      <w:r w:rsidRPr="007B65CE">
        <w:rPr>
          <w:rFonts w:eastAsia="Malgun Gothic"/>
          <w:color w:val="FF0000"/>
        </w:rPr>
        <w:t xml:space="preserve">contained in the higher layer parameter </w:t>
      </w:r>
      <w:r w:rsidRPr="007B65CE">
        <w:rPr>
          <w:rFonts w:eastAsia="Malgun Gothic"/>
          <w:i/>
          <w:color w:val="FF0000"/>
        </w:rPr>
        <w:t>SRS-</w:t>
      </w:r>
      <w:proofErr w:type="spellStart"/>
      <w:r w:rsidRPr="007B65CE">
        <w:rPr>
          <w:rFonts w:eastAsia="Malgun Gothic"/>
          <w:i/>
          <w:color w:val="FF0000"/>
        </w:rPr>
        <w:t>ResourceMapping</w:t>
      </w:r>
      <w:proofErr w:type="spellEnd"/>
    </w:p>
    <w:p w14:paraId="60E150BC" w14:textId="63A36384" w:rsidR="00EF6C02" w:rsidRPr="00EF6C02" w:rsidRDefault="00777A2B" w:rsidP="00EF6C02">
      <w:r w:rsidRPr="00354010">
        <w:rPr>
          <w:highlight w:val="yellow"/>
        </w:rPr>
        <w:t>&gt;&gt;&gt;&gt;&gt;&gt;&gt;&gt;&gt;&gt;&gt;&gt; End text proposal &gt;&gt;&gt;&gt;&gt;&gt;&gt;&gt;&gt;&gt;&gt;&gt;</w:t>
      </w:r>
    </w:p>
    <w:p w14:paraId="3CB8F8BC" w14:textId="23D65841" w:rsidR="004000E8" w:rsidRDefault="00850E4A" w:rsidP="00850E4A">
      <w:pPr>
        <w:pStyle w:val="Heading2"/>
      </w:pPr>
      <w:r>
        <w:t xml:space="preserve">Section 6.4.1.4.2 </w:t>
      </w:r>
      <w:r w:rsidR="00380369">
        <w:t>sequence generation</w:t>
      </w:r>
    </w:p>
    <w:p w14:paraId="612126C7" w14:textId="220CD645" w:rsidR="00850E4A" w:rsidRDefault="00380369" w:rsidP="00850E4A">
      <w:pPr>
        <w:pStyle w:val="Heading3"/>
      </w:pPr>
      <w:r>
        <w:t xml:space="preserve">Group </w:t>
      </w:r>
      <w:r w:rsidR="00850E4A">
        <w:t>hopping</w:t>
      </w:r>
    </w:p>
    <w:p w14:paraId="195965E3" w14:textId="3162B274" w:rsidR="005D3207" w:rsidRPr="005D3207" w:rsidRDefault="002427F4" w:rsidP="005D3207">
      <w:pPr>
        <w:pStyle w:val="B1"/>
        <w:ind w:left="0" w:firstLine="0"/>
        <w:rPr>
          <w:rFonts w:eastAsia="Malgun Gothic"/>
        </w:rPr>
      </w:pPr>
      <w:r>
        <w:rPr>
          <w:rFonts w:eastAsia="Malgun Gothic"/>
        </w:rPr>
        <w:t xml:space="preserve">The group hopping formula for </w:t>
      </w:r>
      <w:r w:rsidR="00884ABE">
        <w:rPr>
          <w:rFonts w:eastAsia="Malgun Gothic"/>
        </w:rPr>
        <w:t>SRS</w:t>
      </w:r>
      <w:r>
        <w:rPr>
          <w:rFonts w:eastAsia="Malgun Gothic"/>
        </w:rPr>
        <w:t xml:space="preserve"> is defined </w:t>
      </w:r>
      <w:r w:rsidR="005D3207">
        <w:rPr>
          <w:rFonts w:eastAsia="Malgun Gothic"/>
        </w:rPr>
        <w:t>in TS 38.211</w:t>
      </w:r>
      <w:r>
        <w:rPr>
          <w:rFonts w:eastAsia="Malgun Gothic"/>
        </w:rPr>
        <w:t xml:space="preserve"> [1]</w:t>
      </w:r>
      <w:r w:rsidR="005D3207">
        <w:rPr>
          <w:rFonts w:eastAsia="Malgun Gothic"/>
        </w:rPr>
        <w:t xml:space="preserve"> </w:t>
      </w:r>
      <w:r w:rsidR="00A80930">
        <w:rPr>
          <w:rFonts w:eastAsia="Malgun Gothic"/>
        </w:rPr>
        <w:t>as follows:</w:t>
      </w:r>
    </w:p>
    <w:p w14:paraId="1F6DC692" w14:textId="77777777" w:rsidR="00A80930" w:rsidRPr="00A80930" w:rsidRDefault="00A80930" w:rsidP="00A80930">
      <w:pPr>
        <w:pStyle w:val="B1"/>
        <w:rPr>
          <w:rFonts w:eastAsia="Malgun Gothic"/>
          <w:color w:val="4F81BD" w:themeColor="accent1"/>
        </w:rPr>
      </w:pPr>
      <w:r w:rsidRPr="00A80930">
        <w:rPr>
          <w:rFonts w:eastAsia="Malgun Gothic"/>
          <w:color w:val="4F81BD" w:themeColor="accent1"/>
        </w:rPr>
        <w:t>-</w:t>
      </w:r>
      <w:r w:rsidRPr="00A80930">
        <w:rPr>
          <w:rFonts w:eastAsia="Malgun Gothic"/>
          <w:color w:val="4F81BD" w:themeColor="accent1"/>
        </w:rPr>
        <w:tab/>
        <w:t xml:space="preserve">if </w:t>
      </w:r>
      <w:r w:rsidRPr="00A80930">
        <w:rPr>
          <w:rFonts w:eastAsia="Malgun Gothic"/>
          <w:i/>
          <w:color w:val="4F81BD" w:themeColor="accent1"/>
        </w:rPr>
        <w:t>SRS-</w:t>
      </w:r>
      <w:proofErr w:type="spellStart"/>
      <w:r w:rsidRPr="00A80930">
        <w:rPr>
          <w:rFonts w:eastAsia="Malgun Gothic"/>
          <w:i/>
          <w:color w:val="4F81BD" w:themeColor="accent1"/>
        </w:rPr>
        <w:t>GroupSequenceHopping</w:t>
      </w:r>
      <w:proofErr w:type="spellEnd"/>
      <w:r w:rsidRPr="00A80930">
        <w:rPr>
          <w:rFonts w:eastAsia="Malgun Gothic"/>
          <w:color w:val="4F81BD" w:themeColor="accent1"/>
        </w:rPr>
        <w:t xml:space="preserve"> equals one, group hopping but not sequence hopping shall be used and </w:t>
      </w:r>
    </w:p>
    <w:p w14:paraId="51679386" w14:textId="77777777" w:rsidR="00A80930" w:rsidRPr="00A80930" w:rsidRDefault="00A80930" w:rsidP="00A80930">
      <w:pPr>
        <w:pStyle w:val="EQ"/>
        <w:jc w:val="center"/>
        <w:rPr>
          <w:color w:val="4F81BD" w:themeColor="accent1"/>
        </w:rPr>
      </w:pPr>
      <w:r w:rsidRPr="00A80930">
        <w:rPr>
          <w:color w:val="4F81BD" w:themeColor="accent1"/>
          <w:position w:val="-34"/>
        </w:rPr>
        <w:object w:dxaOrig="4560" w:dyaOrig="780" w14:anchorId="44D2B2CF">
          <v:shape id="_x0000_i1031" type="#_x0000_t75" style="width:228pt;height:38.8pt" o:ole="">
            <v:imagedata r:id="rId23" o:title=""/>
          </v:shape>
          <o:OLEObject Type="Embed" ProgID="Equation.3" ShapeID="_x0000_i1031" DrawAspect="Content" ObjectID="_1577289224" r:id="rId24"/>
        </w:object>
      </w:r>
    </w:p>
    <w:p w14:paraId="0D935645" w14:textId="77777777" w:rsidR="00A80930" w:rsidRPr="00A80930" w:rsidRDefault="00A80930" w:rsidP="00A80930">
      <w:pPr>
        <w:pStyle w:val="B1"/>
        <w:rPr>
          <w:color w:val="4F81BD" w:themeColor="accent1"/>
        </w:rPr>
      </w:pPr>
      <w:r w:rsidRPr="00A80930">
        <w:rPr>
          <w:color w:val="4F81BD" w:themeColor="accent1"/>
        </w:rPr>
        <w:tab/>
        <w:t xml:space="preserve">where the pseudo-random sequence </w:t>
      </w:r>
      <w:r w:rsidRPr="00A80930">
        <w:rPr>
          <w:color w:val="4F81BD" w:themeColor="accent1"/>
          <w:position w:val="-10"/>
        </w:rPr>
        <w:object w:dxaOrig="360" w:dyaOrig="300" w14:anchorId="62228717">
          <v:shape id="_x0000_i1032" type="#_x0000_t75" style="width:18.35pt;height:14.8pt" o:ole="">
            <v:imagedata r:id="rId25" o:title=""/>
          </v:shape>
          <o:OLEObject Type="Embed" ProgID="Equation.3" ShapeID="_x0000_i1032" DrawAspect="Content" ObjectID="_1577289225" r:id="rId26"/>
        </w:object>
      </w:r>
      <w:r w:rsidRPr="00A80930">
        <w:rPr>
          <w:color w:val="4F81BD" w:themeColor="accent1"/>
        </w:rPr>
        <w:t xml:space="preserve"> is defined by clause 5.2.1 and shall be initialized with </w:t>
      </w:r>
      <w:r w:rsidRPr="00A80930">
        <w:rPr>
          <w:color w:val="4F81BD" w:themeColor="accent1"/>
          <w:position w:val="-10"/>
        </w:rPr>
        <w:object w:dxaOrig="1380" w:dyaOrig="340" w14:anchorId="61A559AA">
          <v:shape id="_x0000_i1033" type="#_x0000_t75" style="width:69.2pt;height:16.95pt" o:ole="">
            <v:imagedata r:id="rId27" o:title=""/>
          </v:shape>
          <o:OLEObject Type="Embed" ProgID="Equation.3" ShapeID="_x0000_i1033" DrawAspect="Content" ObjectID="_1577289226" r:id="rId28"/>
        </w:object>
      </w:r>
      <w:r w:rsidRPr="00A80930">
        <w:rPr>
          <w:color w:val="4F81BD" w:themeColor="accent1"/>
        </w:rPr>
        <w:t xml:space="preserve"> at the beginning of each radio frame..</w:t>
      </w:r>
    </w:p>
    <w:p w14:paraId="31746F10" w14:textId="2D6D8228" w:rsidR="007A0A8A" w:rsidRDefault="007A0A8A" w:rsidP="00850E4A">
      <w:pPr>
        <w:pStyle w:val="B1"/>
        <w:ind w:left="0" w:firstLine="0"/>
      </w:pPr>
      <w:r>
        <w:lastRenderedPageBreak/>
        <w:t xml:space="preserve">We note that </w:t>
      </w:r>
      <w:r w:rsidR="00884ABE">
        <w:t xml:space="preserve">group </w:t>
      </w:r>
      <w:r w:rsidR="00AF238B">
        <w:t>hopping</w:t>
      </w:r>
      <w:r w:rsidR="005D3207">
        <w:t xml:space="preserve"> is defined with respect to the </w:t>
      </w:r>
      <w:r w:rsidR="005D3207" w:rsidRPr="00675364">
        <w:rPr>
          <w:i/>
        </w:rPr>
        <w:t>relative</w:t>
      </w:r>
      <w:r w:rsidR="005D3207">
        <w:t xml:space="preserve"> symbol index </w:t>
      </w:r>
      <w:r w:rsidR="00D61A2F" w:rsidRPr="00090302">
        <w:rPr>
          <w:position w:val="-14"/>
        </w:rPr>
        <w:object w:dxaOrig="1939" w:dyaOrig="400" w14:anchorId="6FE445E4">
          <v:shape id="_x0000_i1034" type="#_x0000_t75" style="width:96.7pt;height:19.75pt" o:ole="">
            <v:imagedata r:id="rId29" o:title=""/>
          </v:shape>
          <o:OLEObject Type="Embed" ProgID="Equation.3" ShapeID="_x0000_i1034" DrawAspect="Content" ObjectID="_1577289227" r:id="rId30"/>
        </w:object>
      </w:r>
      <w:r>
        <w:t xml:space="preserve">. The effect is that </w:t>
      </w:r>
      <w:r w:rsidR="00675364">
        <w:t>if</w:t>
      </w:r>
      <w:r w:rsidR="00884ABE">
        <w:t xml:space="preserve"> group</w:t>
      </w:r>
      <w:r w:rsidR="00E7079E">
        <w:t xml:space="preserve"> hopping is enabled for</w:t>
      </w:r>
      <w:r w:rsidR="00675364">
        <w:t xml:space="preserve"> two UEs </w:t>
      </w:r>
      <w:r w:rsidR="00E7079E">
        <w:t xml:space="preserve">which </w:t>
      </w:r>
      <w:r w:rsidR="00675364">
        <w:t xml:space="preserve">have SRS resources </w:t>
      </w:r>
      <w:r w:rsidR="00884ABE">
        <w:t>of</w:t>
      </w:r>
      <w:r w:rsidR="00675364">
        <w:t xml:space="preserve"> different number of symbols </w:t>
      </w:r>
      <w:r w:rsidR="00675364" w:rsidRPr="00D61A2F">
        <w:rPr>
          <w:position w:val="-14"/>
        </w:rPr>
        <w:object w:dxaOrig="560" w:dyaOrig="400" w14:anchorId="14398F4A">
          <v:shape id="_x0000_i1035" type="#_x0000_t75" style="width:28.25pt;height:19.75pt" o:ole="">
            <v:imagedata r:id="rId31" o:title=""/>
          </v:shape>
          <o:OLEObject Type="Embed" ProgID="Equation.3" ShapeID="_x0000_i1035" DrawAspect="Content" ObjectID="_1577289228" r:id="rId32"/>
        </w:object>
      </w:r>
      <w:r w:rsidR="00313B9A">
        <w:t xml:space="preserve"> and/</w:t>
      </w:r>
      <w:r w:rsidR="00675364">
        <w:t xml:space="preserve">or </w:t>
      </w:r>
      <w:r w:rsidR="000D2C82">
        <w:t xml:space="preserve">different </w:t>
      </w:r>
      <w:r w:rsidR="00675364">
        <w:t xml:space="preserve">starting position </w:t>
      </w:r>
      <w:r w:rsidR="00313B9A" w:rsidRPr="00675364">
        <w:rPr>
          <w:position w:val="-12"/>
        </w:rPr>
        <w:object w:dxaOrig="200" w:dyaOrig="360" w14:anchorId="6321E1E1">
          <v:shape id="_x0000_i1036" type="#_x0000_t75" style="width:10.6pt;height:18.35pt" o:ole="">
            <v:imagedata r:id="rId33" o:title=""/>
          </v:shape>
          <o:OLEObject Type="Embed" ProgID="Equation.3" ShapeID="_x0000_i1036" DrawAspect="Content" ObjectID="_1577289229" r:id="rId34"/>
        </w:object>
      </w:r>
      <w:r w:rsidR="00313B9A">
        <w:t xml:space="preserve">, then different </w:t>
      </w:r>
      <w:r w:rsidR="00BB44E4">
        <w:t>base</w:t>
      </w:r>
      <w:r w:rsidR="00313B9A">
        <w:t xml:space="preserve"> sequences will be </w:t>
      </w:r>
      <w:r w:rsidR="00E7079E">
        <w:t>configur</w:t>
      </w:r>
      <w:r w:rsidR="00313B9A">
        <w:t>ed for the overlapp</w:t>
      </w:r>
      <w:r w:rsidR="00884ABE">
        <w:t xml:space="preserve">ing symbols. Hence, </w:t>
      </w:r>
      <w:r w:rsidR="00313B9A">
        <w:t>it won’t be possible to use cyclic shifts to orthogonalize the</w:t>
      </w:r>
      <w:r w:rsidR="00E7079E">
        <w:t xml:space="preserve"> SRSs in the</w:t>
      </w:r>
      <w:r w:rsidR="000D2C82">
        <w:t>se</w:t>
      </w:r>
      <w:r w:rsidR="00884ABE">
        <w:t xml:space="preserve"> overlapping</w:t>
      </w:r>
      <w:r w:rsidR="00E7079E">
        <w:t xml:space="preserve"> symbols</w:t>
      </w:r>
      <w:r w:rsidR="00313B9A">
        <w:t>.</w:t>
      </w:r>
    </w:p>
    <w:p w14:paraId="5F090497" w14:textId="5194825D" w:rsidR="00884ABE" w:rsidRDefault="00DB4441" w:rsidP="00850E4A">
      <w:pPr>
        <w:pStyle w:val="B1"/>
        <w:ind w:left="0" w:firstLine="0"/>
      </w:pPr>
      <w:r>
        <w:t>To</w:t>
      </w:r>
      <w:r w:rsidR="00884ABE">
        <w:t xml:space="preserve"> be able to configure the same </w:t>
      </w:r>
      <w:r w:rsidR="00BB44E4">
        <w:t>base</w:t>
      </w:r>
      <w:r w:rsidR="00884ABE">
        <w:t xml:space="preserve"> sequences to </w:t>
      </w:r>
      <w:r>
        <w:t xml:space="preserve">overlapping symbols of SRS resources with different duration and/or </w:t>
      </w:r>
      <w:r w:rsidR="008056C5">
        <w:t xml:space="preserve">different </w:t>
      </w:r>
      <w:r>
        <w:t xml:space="preserve">starting position, </w:t>
      </w:r>
      <w:r w:rsidR="008056C5">
        <w:t xml:space="preserve">when group hopping is enabled, </w:t>
      </w:r>
      <w:r>
        <w:t xml:space="preserve">we propose to define group hopping with respect to the </w:t>
      </w:r>
      <w:r w:rsidRPr="00DB4441">
        <w:rPr>
          <w:i/>
        </w:rPr>
        <w:t>absolute</w:t>
      </w:r>
      <w:r>
        <w:t xml:space="preserve"> symbol index</w:t>
      </w:r>
      <w:r w:rsidR="00527961">
        <w:t xml:space="preserve"> </w:t>
      </w:r>
      <w:r w:rsidR="00E6444F" w:rsidRPr="00E6444F">
        <w:rPr>
          <w:position w:val="-14"/>
        </w:rPr>
        <w:object w:dxaOrig="1440" w:dyaOrig="380" w14:anchorId="2CC287F5">
          <v:shape id="_x0000_i1082" type="#_x0000_t75" style="width:69.9pt;height:19.05pt" o:ole="">
            <v:imagedata r:id="rId35" o:title=""/>
          </v:shape>
          <o:OLEObject Type="Embed" ProgID="Equation.3" ShapeID="_x0000_i1082" DrawAspect="Content" ObjectID="_1577289230" r:id="rId36"/>
        </w:object>
      </w:r>
      <w:r>
        <w:t xml:space="preserve">. </w:t>
      </w:r>
      <w:r w:rsidR="00884ABE">
        <w:t xml:space="preserve"> </w:t>
      </w:r>
    </w:p>
    <w:p w14:paraId="68163F7F" w14:textId="74450CC4" w:rsidR="00F54A0A" w:rsidRDefault="00884ABE" w:rsidP="00F54A0A">
      <w:pPr>
        <w:pStyle w:val="Proposal"/>
      </w:pPr>
      <w:r>
        <w:t xml:space="preserve">The </w:t>
      </w:r>
      <w:r w:rsidR="00DB4441">
        <w:t xml:space="preserve">group </w:t>
      </w:r>
      <w:r>
        <w:t xml:space="preserve">hopping </w:t>
      </w:r>
      <w:r w:rsidR="00527961">
        <w:t>is defined with respect to the absolute symbol index</w:t>
      </w:r>
      <w:r w:rsidR="00F54A0A">
        <w:t xml:space="preserve"> </w:t>
      </w:r>
      <w:r w:rsidR="00E6444F" w:rsidRPr="00E6444F">
        <w:rPr>
          <w:position w:val="-14"/>
        </w:rPr>
        <w:object w:dxaOrig="1440" w:dyaOrig="380" w14:anchorId="768E8E53">
          <v:shape id="_x0000_i1092" type="#_x0000_t75" style="width:69.9pt;height:19.05pt" o:ole="">
            <v:imagedata r:id="rId37" o:title=""/>
          </v:shape>
          <o:OLEObject Type="Embed" ProgID="Equation.3" ShapeID="_x0000_i1092" DrawAspect="Content" ObjectID="_1577289231" r:id="rId38"/>
        </w:object>
      </w:r>
      <w:r w:rsidR="00F54A0A">
        <w:t xml:space="preserve">, i.e., </w:t>
      </w:r>
      <w:r w:rsidR="00E6444F" w:rsidRPr="00E6444F">
        <w:rPr>
          <w:position w:val="-22"/>
        </w:rPr>
        <w:object w:dxaOrig="4860" w:dyaOrig="540" w14:anchorId="274A72FA">
          <v:shape id="_x0000_i1089" type="#_x0000_t75" style="width:242.8pt;height:27.55pt" o:ole="">
            <v:imagedata r:id="rId39" o:title=""/>
          </v:shape>
          <o:OLEObject Type="Embed" ProgID="Equation.3" ShapeID="_x0000_i1089" DrawAspect="Content" ObjectID="_1577289232" r:id="rId40"/>
        </w:object>
      </w:r>
      <w:r w:rsidR="00F54A0A">
        <w:t>.</w:t>
      </w:r>
    </w:p>
    <w:p w14:paraId="4D0203A6" w14:textId="45D49A0B" w:rsidR="001365F8" w:rsidRPr="00F54A0A" w:rsidRDefault="001365F8" w:rsidP="00F54A0A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The proposed correction </w:t>
      </w:r>
      <w:r w:rsidR="00C01BA1">
        <w:rPr>
          <w:b w:val="0"/>
        </w:rPr>
        <w:t>to the group hopping formula i</w:t>
      </w:r>
      <w:r>
        <w:rPr>
          <w:b w:val="0"/>
        </w:rPr>
        <w:t xml:space="preserve">s </w:t>
      </w:r>
      <w:r w:rsidR="00C01BA1">
        <w:rPr>
          <w:b w:val="0"/>
        </w:rPr>
        <w:t>summa</w:t>
      </w:r>
      <w:bookmarkStart w:id="0" w:name="_GoBack"/>
      <w:bookmarkEnd w:id="0"/>
      <w:r w:rsidR="00C01BA1">
        <w:rPr>
          <w:b w:val="0"/>
        </w:rPr>
        <w:t xml:space="preserve">rized in </w:t>
      </w:r>
      <w:r>
        <w:rPr>
          <w:b w:val="0"/>
        </w:rPr>
        <w:t xml:space="preserve">the following text proposal, which </w:t>
      </w:r>
      <w:r w:rsidR="00C01BA1">
        <w:rPr>
          <w:b w:val="0"/>
        </w:rPr>
        <w:t xml:space="preserve">also </w:t>
      </w:r>
      <w:r>
        <w:rPr>
          <w:b w:val="0"/>
        </w:rPr>
        <w:t xml:space="preserve">includes </w:t>
      </w:r>
      <w:r w:rsidR="00C01BA1">
        <w:rPr>
          <w:b w:val="0"/>
        </w:rPr>
        <w:t xml:space="preserve">some </w:t>
      </w:r>
      <w:r>
        <w:rPr>
          <w:b w:val="0"/>
        </w:rPr>
        <w:t xml:space="preserve">minor editorial changes. </w:t>
      </w:r>
    </w:p>
    <w:p w14:paraId="6F3A8F47" w14:textId="6AFACF97" w:rsidR="00850E4A" w:rsidRDefault="00850E4A" w:rsidP="00850E4A">
      <w:pPr>
        <w:pStyle w:val="Proposal"/>
      </w:pPr>
      <w:r>
        <w:t xml:space="preserve">Modify the paragraph </w:t>
      </w:r>
      <w:r w:rsidR="00EC0FEC">
        <w:t xml:space="preserve">which defines the group hopping formula for SRS sequence generation, </w:t>
      </w:r>
      <w:r>
        <w:t>in Section 6.4.1.4.2 of TS 38.211 as</w:t>
      </w:r>
    </w:p>
    <w:p w14:paraId="34977B93" w14:textId="77777777" w:rsidR="00850E4A" w:rsidRPr="000D2C82" w:rsidRDefault="00850E4A" w:rsidP="00850E4A">
      <w:r w:rsidRPr="000D2C82">
        <w:rPr>
          <w:highlight w:val="yellow"/>
        </w:rPr>
        <w:t>&gt;&gt;&gt;&gt;&gt;&gt;&gt;&gt;&gt;&gt;&gt;&gt; Start text proposal &gt;&gt;&gt;&gt;&gt;&gt;&gt;&gt;&gt;&gt;&gt;&gt;</w:t>
      </w:r>
    </w:p>
    <w:p w14:paraId="6C598CED" w14:textId="5A168F2E" w:rsidR="001C0A2D" w:rsidRPr="00175C59" w:rsidRDefault="001C0A2D" w:rsidP="001C0A2D">
      <w:pPr>
        <w:pStyle w:val="B1"/>
        <w:rPr>
          <w:rFonts w:eastAsia="Malgun Gothic"/>
          <w:color w:val="FF0000"/>
        </w:rPr>
      </w:pPr>
      <w:r w:rsidRPr="00175C59">
        <w:rPr>
          <w:rFonts w:eastAsia="Malgun Gothic"/>
          <w:color w:val="FF0000"/>
        </w:rPr>
        <w:t>-</w:t>
      </w:r>
      <w:r w:rsidRPr="00175C59">
        <w:rPr>
          <w:rFonts w:eastAsia="Malgun Gothic"/>
          <w:color w:val="FF0000"/>
        </w:rPr>
        <w:tab/>
        <w:t xml:space="preserve">if </w:t>
      </w:r>
      <w:r w:rsidRPr="00175C59">
        <w:rPr>
          <w:rFonts w:eastAsia="Malgun Gothic"/>
          <w:i/>
          <w:color w:val="FF0000"/>
        </w:rPr>
        <w:t>SRS-</w:t>
      </w:r>
      <w:proofErr w:type="spellStart"/>
      <w:r w:rsidRPr="00175C59">
        <w:rPr>
          <w:rFonts w:eastAsia="Malgun Gothic"/>
          <w:i/>
          <w:color w:val="FF0000"/>
        </w:rPr>
        <w:t>GroupSequenceHopping</w:t>
      </w:r>
      <w:proofErr w:type="spellEnd"/>
      <w:r w:rsidRPr="00175C59">
        <w:rPr>
          <w:rFonts w:eastAsia="Malgun Gothic"/>
          <w:color w:val="FF0000"/>
        </w:rPr>
        <w:t xml:space="preserve"> equals </w:t>
      </w:r>
      <w:r w:rsidR="00175C59" w:rsidRPr="00175C59">
        <w:rPr>
          <w:rFonts w:eastAsia="Malgun Gothic"/>
          <w:color w:val="FF0000"/>
        </w:rPr>
        <w:t>‘</w:t>
      </w:r>
      <w:proofErr w:type="spellStart"/>
      <w:r w:rsidR="00175C59" w:rsidRPr="00175C59">
        <w:rPr>
          <w:rFonts w:eastAsia="Malgun Gothic"/>
          <w:color w:val="FF0000"/>
        </w:rPr>
        <w:t>groupHopping</w:t>
      </w:r>
      <w:proofErr w:type="spellEnd"/>
      <w:r w:rsidR="00175C59" w:rsidRPr="00175C59">
        <w:rPr>
          <w:rFonts w:eastAsia="Malgun Gothic"/>
          <w:color w:val="FF0000"/>
        </w:rPr>
        <w:t>’</w:t>
      </w:r>
      <w:r w:rsidRPr="00175C59">
        <w:rPr>
          <w:rFonts w:eastAsia="Malgun Gothic"/>
          <w:color w:val="FF0000"/>
        </w:rPr>
        <w:t xml:space="preserve">, group hopping but not sequence hopping shall be used and </w:t>
      </w:r>
    </w:p>
    <w:p w14:paraId="428047A6" w14:textId="7270AD04" w:rsidR="001C0A2D" w:rsidRPr="00175C59" w:rsidRDefault="00F360B9" w:rsidP="001C0A2D">
      <w:pPr>
        <w:pStyle w:val="EQ"/>
        <w:jc w:val="center"/>
        <w:rPr>
          <w:color w:val="FF0000"/>
        </w:rPr>
      </w:pPr>
      <w:r w:rsidRPr="00E6444F">
        <w:rPr>
          <w:color w:val="FF0000"/>
          <w:position w:val="-34"/>
        </w:rPr>
        <w:object w:dxaOrig="4880" w:dyaOrig="780" w14:anchorId="29ED5392">
          <v:shape id="_x0000_i1100" type="#_x0000_t75" style="width:244.25pt;height:38.8pt" o:ole="">
            <v:imagedata r:id="rId41" o:title=""/>
          </v:shape>
          <o:OLEObject Type="Embed" ProgID="Equation.3" ShapeID="_x0000_i1100" DrawAspect="Content" ObjectID="_1577289233" r:id="rId42"/>
        </w:object>
      </w:r>
    </w:p>
    <w:p w14:paraId="4E498658" w14:textId="250C34CF" w:rsidR="001C0A2D" w:rsidRPr="00175C59" w:rsidRDefault="001C0A2D" w:rsidP="001C0A2D">
      <w:pPr>
        <w:pStyle w:val="B1"/>
        <w:rPr>
          <w:color w:val="FF0000"/>
        </w:rPr>
      </w:pPr>
      <w:r w:rsidRPr="00175C59">
        <w:rPr>
          <w:color w:val="FF0000"/>
        </w:rPr>
        <w:tab/>
        <w:t xml:space="preserve">where the pseudo-random sequence </w:t>
      </w:r>
      <w:r w:rsidRPr="00175C59">
        <w:rPr>
          <w:color w:val="FF0000"/>
          <w:position w:val="-10"/>
        </w:rPr>
        <w:object w:dxaOrig="360" w:dyaOrig="300" w14:anchorId="10ABC841">
          <v:shape id="_x0000_i1041" type="#_x0000_t75" style="width:18.35pt;height:14.8pt" o:ole="">
            <v:imagedata r:id="rId25" o:title=""/>
          </v:shape>
          <o:OLEObject Type="Embed" ProgID="Equation.3" ShapeID="_x0000_i1041" DrawAspect="Content" ObjectID="_1577289234" r:id="rId43"/>
        </w:object>
      </w:r>
      <w:r w:rsidRPr="00175C59">
        <w:rPr>
          <w:color w:val="FF0000"/>
        </w:rPr>
        <w:t xml:space="preserve"> is defined by clause 5.2.1 and shall be initialized with </w:t>
      </w:r>
      <w:r w:rsidRPr="00175C59">
        <w:rPr>
          <w:color w:val="FF0000"/>
          <w:position w:val="-10"/>
        </w:rPr>
        <w:object w:dxaOrig="1380" w:dyaOrig="340" w14:anchorId="292E32A4">
          <v:shape id="_x0000_i1042" type="#_x0000_t75" style="width:68.45pt;height:17.65pt" o:ole="">
            <v:imagedata r:id="rId27" o:title=""/>
          </v:shape>
          <o:OLEObject Type="Embed" ProgID="Equation.3" ShapeID="_x0000_i1042" DrawAspect="Content" ObjectID="_1577289235" r:id="rId44"/>
        </w:object>
      </w:r>
      <w:r w:rsidRPr="00175C59">
        <w:rPr>
          <w:color w:val="FF0000"/>
        </w:rPr>
        <w:t xml:space="preserve"> at the beginning of each radio frame.</w:t>
      </w:r>
    </w:p>
    <w:p w14:paraId="05ECD9FB" w14:textId="01BCC80F" w:rsidR="00850E4A" w:rsidRDefault="00850E4A" w:rsidP="00850E4A">
      <w:r w:rsidRPr="00354010">
        <w:rPr>
          <w:highlight w:val="yellow"/>
        </w:rPr>
        <w:t>&gt;&gt;&gt;&gt;&gt;&gt;&gt;&gt;&gt;&gt;&gt;&gt; End text proposal &gt;&gt;&gt;&gt;&gt;&gt;&gt;&gt;&gt;&gt;&gt;&gt;</w:t>
      </w:r>
    </w:p>
    <w:p w14:paraId="4031FF41" w14:textId="7751A64A" w:rsidR="00CC5371" w:rsidRDefault="00850E4A" w:rsidP="00850E4A">
      <w:pPr>
        <w:pStyle w:val="Heading3"/>
      </w:pPr>
      <w:r>
        <w:t>S</w:t>
      </w:r>
      <w:r w:rsidR="00D55094">
        <w:t>equence</w:t>
      </w:r>
      <w:r w:rsidR="00380369">
        <w:t xml:space="preserve"> hopping</w:t>
      </w:r>
    </w:p>
    <w:p w14:paraId="400EAFC1" w14:textId="6EF956C5" w:rsidR="00A80930" w:rsidRPr="005D3207" w:rsidRDefault="00A80930" w:rsidP="00A80930">
      <w:pPr>
        <w:pStyle w:val="B1"/>
        <w:ind w:left="0" w:firstLine="0"/>
        <w:rPr>
          <w:rFonts w:eastAsia="Malgun Gothic"/>
        </w:rPr>
      </w:pPr>
      <w:r>
        <w:rPr>
          <w:rFonts w:eastAsia="Malgun Gothic"/>
        </w:rPr>
        <w:t>The sequence hopping formula for SRS is defined in TS 38.211 [1] as</w:t>
      </w:r>
      <w:r w:rsidR="001365F8">
        <w:rPr>
          <w:rFonts w:eastAsia="Malgun Gothic"/>
        </w:rPr>
        <w:t xml:space="preserve"> follows:</w:t>
      </w:r>
    </w:p>
    <w:p w14:paraId="0E24D920" w14:textId="77777777" w:rsidR="001365F8" w:rsidRPr="00F2508E" w:rsidRDefault="001365F8" w:rsidP="001365F8">
      <w:pPr>
        <w:pStyle w:val="B1"/>
        <w:rPr>
          <w:rFonts w:eastAsia="Malgun Gothic"/>
          <w:color w:val="4F81BD" w:themeColor="accent1"/>
        </w:rPr>
      </w:pPr>
      <w:r w:rsidRPr="00F2508E">
        <w:rPr>
          <w:color w:val="4F81BD" w:themeColor="accent1"/>
        </w:rPr>
        <w:t>-</w:t>
      </w:r>
      <w:r w:rsidRPr="00F2508E">
        <w:rPr>
          <w:color w:val="4F81BD" w:themeColor="accent1"/>
        </w:rPr>
        <w:tab/>
      </w:r>
      <w:r w:rsidRPr="00F2508E">
        <w:rPr>
          <w:rFonts w:eastAsia="Malgun Gothic"/>
          <w:color w:val="4F81BD" w:themeColor="accent1"/>
        </w:rPr>
        <w:t xml:space="preserve">if </w:t>
      </w:r>
      <w:r w:rsidRPr="00F2508E">
        <w:rPr>
          <w:rFonts w:eastAsia="Malgun Gothic"/>
          <w:i/>
          <w:color w:val="4F81BD" w:themeColor="accent1"/>
        </w:rPr>
        <w:t>SRS-</w:t>
      </w:r>
      <w:proofErr w:type="spellStart"/>
      <w:r w:rsidRPr="00F2508E">
        <w:rPr>
          <w:rFonts w:eastAsia="Malgun Gothic"/>
          <w:i/>
          <w:color w:val="4F81BD" w:themeColor="accent1"/>
        </w:rPr>
        <w:t>GroupSequenceHopping</w:t>
      </w:r>
      <w:proofErr w:type="spellEnd"/>
      <w:r w:rsidRPr="00F2508E">
        <w:rPr>
          <w:rFonts w:eastAsia="Malgun Gothic"/>
          <w:color w:val="4F81BD" w:themeColor="accent1"/>
        </w:rPr>
        <w:t xml:space="preserve"> equals two, sequence hopping but not group hopping shall be used and</w:t>
      </w:r>
    </w:p>
    <w:p w14:paraId="36AA46C4" w14:textId="7447B955" w:rsidR="001365F8" w:rsidRPr="00F2508E" w:rsidRDefault="00C01BA1" w:rsidP="001365F8">
      <w:pPr>
        <w:pStyle w:val="EQ"/>
        <w:jc w:val="center"/>
        <w:rPr>
          <w:color w:val="4F81BD" w:themeColor="accent1"/>
        </w:rPr>
      </w:pPr>
      <w:r w:rsidRPr="00F2508E">
        <w:rPr>
          <w:color w:val="4F81BD" w:themeColor="accent1"/>
          <w:position w:val="-52"/>
        </w:rPr>
        <w:object w:dxaOrig="4260" w:dyaOrig="1160" w14:anchorId="73D3C3B0">
          <v:shape id="_x0000_i1043" type="#_x0000_t75" style="width:213.2pt;height:57.9pt" o:ole="">
            <v:imagedata r:id="rId45" o:title=""/>
          </v:shape>
          <o:OLEObject Type="Embed" ProgID="Equation.3" ShapeID="_x0000_i1043" DrawAspect="Content" ObjectID="_1577289236" r:id="rId46"/>
        </w:object>
      </w:r>
    </w:p>
    <w:p w14:paraId="3D699223" w14:textId="2058CB4B" w:rsidR="001365F8" w:rsidRDefault="001365F8" w:rsidP="001365F8">
      <w:pPr>
        <w:pStyle w:val="B1"/>
        <w:rPr>
          <w:color w:val="4F81BD" w:themeColor="accent1"/>
        </w:rPr>
      </w:pPr>
      <w:r w:rsidRPr="00F2508E">
        <w:rPr>
          <w:color w:val="4F81BD" w:themeColor="accent1"/>
        </w:rPr>
        <w:tab/>
        <w:t xml:space="preserve">where the pseudo-random sequence </w:t>
      </w:r>
      <w:r w:rsidRPr="00F2508E">
        <w:rPr>
          <w:color w:val="4F81BD" w:themeColor="accent1"/>
          <w:position w:val="-10"/>
        </w:rPr>
        <w:object w:dxaOrig="360" w:dyaOrig="300" w14:anchorId="1E071F77">
          <v:shape id="_x0000_i1044" type="#_x0000_t75" style="width:18.35pt;height:14.8pt" o:ole="">
            <v:imagedata r:id="rId25" o:title=""/>
          </v:shape>
          <o:OLEObject Type="Embed" ProgID="Equation.3" ShapeID="_x0000_i1044" DrawAspect="Content" ObjectID="_1577289237" r:id="rId47"/>
        </w:object>
      </w:r>
      <w:r w:rsidRPr="00F2508E">
        <w:rPr>
          <w:color w:val="4F81BD" w:themeColor="accent1"/>
        </w:rPr>
        <w:t xml:space="preserve"> is defined by clause 5.2.1 and shall be initialized with </w:t>
      </w:r>
      <w:r w:rsidRPr="00F2508E">
        <w:rPr>
          <w:color w:val="4F81BD" w:themeColor="accent1"/>
          <w:position w:val="-10"/>
        </w:rPr>
        <w:object w:dxaOrig="3379" w:dyaOrig="340" w14:anchorId="124EDAB2">
          <v:shape id="_x0000_i1045" type="#_x0000_t75" style="width:168.7pt;height:17.65pt" o:ole="">
            <v:imagedata r:id="rId48" o:title=""/>
          </v:shape>
          <o:OLEObject Type="Embed" ProgID="Equation.3" ShapeID="_x0000_i1045" DrawAspect="Content" ObjectID="_1577289238" r:id="rId49"/>
        </w:object>
      </w:r>
      <w:r w:rsidRPr="00F2508E">
        <w:rPr>
          <w:color w:val="4F81BD" w:themeColor="accent1"/>
        </w:rPr>
        <w:t xml:space="preserve"> at the beginning of each radio frame where </w:t>
      </w:r>
      <w:r w:rsidRPr="00F2508E">
        <w:rPr>
          <w:color w:val="4F81BD" w:themeColor="accent1"/>
          <w:position w:val="-10"/>
        </w:rPr>
        <w:object w:dxaOrig="1320" w:dyaOrig="300" w14:anchorId="7628968F">
          <v:shape id="_x0000_i1046" type="#_x0000_t75" style="width:67.05pt;height:14.8pt" o:ole="">
            <v:imagedata r:id="rId50" o:title=""/>
          </v:shape>
          <o:OLEObject Type="Embed" ProgID="Equation.3" ShapeID="_x0000_i1046" DrawAspect="Content" ObjectID="_1577289239" r:id="rId51"/>
        </w:object>
      </w:r>
    </w:p>
    <w:p w14:paraId="097BCA8D" w14:textId="52CC474E" w:rsidR="001365F8" w:rsidRPr="001365F8" w:rsidRDefault="00980571" w:rsidP="001365F8">
      <w:pPr>
        <w:pStyle w:val="B1"/>
        <w:ind w:left="0" w:firstLine="0"/>
      </w:pPr>
      <w:r>
        <w:t>As</w:t>
      </w:r>
      <w:r w:rsidR="009960E4">
        <w:t xml:space="preserve"> with</w:t>
      </w:r>
      <w:r>
        <w:t xml:space="preserve"> group hopping, </w:t>
      </w:r>
      <w:r w:rsidR="009960E4">
        <w:t xml:space="preserve">discussed in the previous section, </w:t>
      </w:r>
      <w:r>
        <w:t xml:space="preserve">we note that </w:t>
      </w:r>
      <w:r w:rsidR="009960E4">
        <w:t xml:space="preserve">also </w:t>
      </w:r>
      <w:r>
        <w:t xml:space="preserve">sequence hopping is defined with respect to the </w:t>
      </w:r>
      <w:r w:rsidRPr="00675364">
        <w:rPr>
          <w:i/>
        </w:rPr>
        <w:t>relative</w:t>
      </w:r>
      <w:r>
        <w:t xml:space="preserve"> symbol index </w:t>
      </w:r>
      <w:r w:rsidRPr="00090302">
        <w:rPr>
          <w:position w:val="-14"/>
        </w:rPr>
        <w:object w:dxaOrig="1939" w:dyaOrig="400" w14:anchorId="1F0BDAEC">
          <v:shape id="_x0000_i1047" type="#_x0000_t75" style="width:96.7pt;height:19.75pt" o:ole="">
            <v:imagedata r:id="rId29" o:title=""/>
          </v:shape>
          <o:OLEObject Type="Embed" ProgID="Equation.3" ShapeID="_x0000_i1047" DrawAspect="Content" ObjectID="_1577289240" r:id="rId52"/>
        </w:object>
      </w:r>
      <w:r>
        <w:t xml:space="preserve">. </w:t>
      </w:r>
      <w:r w:rsidR="008056C5">
        <w:t>T</w:t>
      </w:r>
      <w:r>
        <w:t xml:space="preserve">o be able to configure the same </w:t>
      </w:r>
      <w:r w:rsidR="00BB44E4">
        <w:t>base</w:t>
      </w:r>
      <w:r>
        <w:t xml:space="preserve"> sequences to overlapping symbols of SRS resources with different duration and/or </w:t>
      </w:r>
      <w:r w:rsidR="008056C5">
        <w:t xml:space="preserve">different </w:t>
      </w:r>
      <w:r>
        <w:t xml:space="preserve">starting position, </w:t>
      </w:r>
      <w:r w:rsidR="008056C5">
        <w:t xml:space="preserve">when sequence hopping is enabled, </w:t>
      </w:r>
      <w:r>
        <w:t xml:space="preserve">we propose to define sequence hopping with respect to the </w:t>
      </w:r>
      <w:r w:rsidRPr="00DB4441">
        <w:rPr>
          <w:i/>
        </w:rPr>
        <w:t>absolute</w:t>
      </w:r>
      <w:r>
        <w:t xml:space="preserve"> symbol index </w:t>
      </w:r>
      <w:r w:rsidR="00F360B9" w:rsidRPr="00E6444F">
        <w:rPr>
          <w:position w:val="-14"/>
        </w:rPr>
        <w:object w:dxaOrig="1440" w:dyaOrig="380" w14:anchorId="704AC24B">
          <v:shape id="_x0000_i1101" type="#_x0000_t75" style="width:69.9pt;height:19.05pt" o:ole="">
            <v:imagedata r:id="rId53" o:title=""/>
          </v:shape>
          <o:OLEObject Type="Embed" ProgID="Equation.3" ShapeID="_x0000_i1101" DrawAspect="Content" ObjectID="_1577289241" r:id="rId54"/>
        </w:object>
      </w:r>
      <w:r>
        <w:t xml:space="preserve">. </w:t>
      </w:r>
    </w:p>
    <w:p w14:paraId="087B96A7" w14:textId="63AE6D4F" w:rsidR="00C275C2" w:rsidRDefault="00C275C2" w:rsidP="00C275C2">
      <w:pPr>
        <w:pStyle w:val="Proposal"/>
      </w:pPr>
      <w:r>
        <w:lastRenderedPageBreak/>
        <w:t xml:space="preserve">The sequence hopping is defined with respect to the absolute symbol index </w:t>
      </w:r>
      <w:r w:rsidR="00F360B9" w:rsidRPr="00F360B9">
        <w:rPr>
          <w:position w:val="-14"/>
        </w:rPr>
        <w:object w:dxaOrig="1440" w:dyaOrig="380" w14:anchorId="103B942F">
          <v:shape id="_x0000_i1104" type="#_x0000_t75" style="width:69.9pt;height:19.05pt" o:ole="">
            <v:imagedata r:id="rId55" o:title=""/>
          </v:shape>
          <o:OLEObject Type="Embed" ProgID="Equation.3" ShapeID="_x0000_i1104" DrawAspect="Content" ObjectID="_1577289242" r:id="rId56"/>
        </w:object>
      </w:r>
      <w:r>
        <w:t xml:space="preserve">, i.e., </w:t>
      </w:r>
      <w:r w:rsidR="00F360B9" w:rsidRPr="00F360B9">
        <w:rPr>
          <w:color w:val="FF0000"/>
          <w:position w:val="-14"/>
        </w:rPr>
        <w:object w:dxaOrig="1939" w:dyaOrig="380" w14:anchorId="234FD3D9">
          <v:shape id="_x0000_i1107" type="#_x0000_t75" style="width:97.4pt;height:19.05pt" o:ole="">
            <v:imagedata r:id="rId57" o:title=""/>
          </v:shape>
          <o:OLEObject Type="Embed" ProgID="Equation.3" ShapeID="_x0000_i1107" DrawAspect="Content" ObjectID="_1577289243" r:id="rId58"/>
        </w:object>
      </w:r>
      <w:r>
        <w:t>.</w:t>
      </w:r>
    </w:p>
    <w:p w14:paraId="28C1A08D" w14:textId="091534DF" w:rsidR="00A80930" w:rsidRDefault="00A80930" w:rsidP="00A80930">
      <w:r>
        <w:t xml:space="preserve">The </w:t>
      </w:r>
      <w:r w:rsidR="001E2CEF">
        <w:t xml:space="preserve">definition of the </w:t>
      </w:r>
      <w:r>
        <w:t>initializatio</w:t>
      </w:r>
      <w:r w:rsidR="00E72D59">
        <w:t>n</w:t>
      </w:r>
      <w:r w:rsidR="001E2CEF">
        <w:t xml:space="preserve"> </w:t>
      </w:r>
      <w:r w:rsidR="001E2CEF" w:rsidRPr="00F2508E">
        <w:rPr>
          <w:color w:val="4F81BD" w:themeColor="accent1"/>
          <w:position w:val="-10"/>
        </w:rPr>
        <w:object w:dxaOrig="3379" w:dyaOrig="340" w14:anchorId="608F240B">
          <v:shape id="_x0000_i1051" type="#_x0000_t75" style="width:168.7pt;height:17.65pt" o:ole="">
            <v:imagedata r:id="rId48" o:title=""/>
          </v:shape>
          <o:OLEObject Type="Embed" ProgID="Equation.3" ShapeID="_x0000_i1051" DrawAspect="Content" ObjectID="_1577289244" r:id="rId59"/>
        </w:object>
      </w:r>
      <w:r w:rsidR="00E72D59">
        <w:t xml:space="preserve">of the pseudo-random sequence used </w:t>
      </w:r>
      <w:r w:rsidR="00D23620">
        <w:t xml:space="preserve">in the formula of </w:t>
      </w:r>
      <w:r w:rsidR="00E72D59">
        <w:t xml:space="preserve">SRS sequence hopping </w:t>
      </w:r>
      <w:r w:rsidR="001E2CEF">
        <w:t>was carried over</w:t>
      </w:r>
      <w:r w:rsidR="00E72D59">
        <w:t xml:space="preserve"> from the respective section </w:t>
      </w:r>
      <w:r w:rsidR="001E2CEF">
        <w:t xml:space="preserve">of TS 36.211, i.e., </w:t>
      </w:r>
      <w:r w:rsidR="00165F1A">
        <w:t>for LTE</w:t>
      </w:r>
      <w:r w:rsidR="00E72D59">
        <w:t xml:space="preserve">. </w:t>
      </w:r>
      <w:r w:rsidR="00D23620">
        <w:t xml:space="preserve">In LTE </w:t>
      </w:r>
      <w:r w:rsidR="00D23620" w:rsidRPr="00ED3D1F">
        <w:rPr>
          <w:position w:val="-10"/>
        </w:rPr>
        <w:object w:dxaOrig="460" w:dyaOrig="360" w14:anchorId="4F8D97B5">
          <v:shape id="_x0000_i1052" type="#_x0000_t75" style="width:23.3pt;height:18.35pt" o:ole="">
            <v:imagedata r:id="rId60" o:title=""/>
          </v:shape>
          <o:OLEObject Type="Embed" ProgID="Equation.3" ShapeID="_x0000_i1052" DrawAspect="Content" ObjectID="_1577289245" r:id="rId61"/>
        </w:object>
      </w:r>
      <w:r w:rsidR="00D23620">
        <w:t>is equal to</w:t>
      </w:r>
      <w:r w:rsidR="00D23620" w:rsidRPr="00ED3D1F">
        <w:rPr>
          <w:position w:val="-10"/>
        </w:rPr>
        <w:object w:dxaOrig="480" w:dyaOrig="360" w14:anchorId="66F77ECD">
          <v:shape id="_x0000_i1053" type="#_x0000_t75" style="width:24pt;height:18.35pt" o:ole="">
            <v:imagedata r:id="rId62" o:title=""/>
          </v:shape>
          <o:OLEObject Type="Embed" ProgID="Equation.3" ShapeID="_x0000_i1053" DrawAspect="Content" ObjectID="_1577289246" r:id="rId63"/>
        </w:object>
      </w:r>
      <w:r w:rsidR="00D23620">
        <w:t xml:space="preserve"> , so the UE-specifically parameter </w:t>
      </w:r>
      <w:r w:rsidR="00D23620" w:rsidRPr="00ED3D1F">
        <w:rPr>
          <w:position w:val="-12"/>
        </w:rPr>
        <w:object w:dxaOrig="340" w:dyaOrig="360" w14:anchorId="31B23B36">
          <v:shape id="_x0000_i1054" type="#_x0000_t75" style="width:17.65pt;height:18.35pt" o:ole="">
            <v:imagedata r:id="rId64" o:title=""/>
          </v:shape>
          <o:OLEObject Type="Embed" ProgID="Equation.3" ShapeID="_x0000_i1054" DrawAspect="Content" ObjectID="_1577289247" r:id="rId65"/>
        </w:object>
      </w:r>
      <w:r w:rsidR="00D23620">
        <w:t xml:space="preserve"> was used in the definition of </w:t>
      </w:r>
      <w:r w:rsidR="00D23620" w:rsidRPr="00E2705C">
        <w:rPr>
          <w:color w:val="FF0000"/>
          <w:position w:val="-12"/>
        </w:rPr>
        <w:object w:dxaOrig="380" w:dyaOrig="360" w14:anchorId="3DA1AF6F">
          <v:shape id="_x0000_i1055" type="#_x0000_t75" style="width:19.05pt;height:18.35pt" o:ole="">
            <v:imagedata r:id="rId66" o:title=""/>
          </v:shape>
          <o:OLEObject Type="Embed" ProgID="Equation.3" ShapeID="_x0000_i1055" DrawAspect="Content" ObjectID="_1577289248" r:id="rId67"/>
        </w:object>
      </w:r>
      <w:r w:rsidR="00D23620">
        <w:t xml:space="preserve">to be able to UE-specifically configure it. However, </w:t>
      </w:r>
      <w:r w:rsidR="00E72D59">
        <w:t xml:space="preserve">in NR </w:t>
      </w:r>
      <w:r w:rsidR="00D23620" w:rsidRPr="00ED3D1F">
        <w:rPr>
          <w:position w:val="-10"/>
        </w:rPr>
        <w:object w:dxaOrig="460" w:dyaOrig="360" w14:anchorId="7C9EFEB3">
          <v:shape id="_x0000_i1056" type="#_x0000_t75" style="width:23.3pt;height:18.35pt" o:ole="">
            <v:imagedata r:id="rId60" o:title=""/>
          </v:shape>
          <o:OLEObject Type="Embed" ProgID="Equation.3" ShapeID="_x0000_i1056" DrawAspect="Content" ObjectID="_1577289249" r:id="rId68"/>
        </w:object>
      </w:r>
      <w:r w:rsidR="00E72D59">
        <w:t xml:space="preserve">is </w:t>
      </w:r>
      <w:r w:rsidR="00D23620">
        <w:t>already UE-</w:t>
      </w:r>
      <w:r w:rsidR="00E72D59">
        <w:t>specifically configured</w:t>
      </w:r>
      <w:r>
        <w:t xml:space="preserve">. </w:t>
      </w:r>
      <w:r w:rsidR="00D23620">
        <w:t>Hence, t</w:t>
      </w:r>
      <w:r w:rsidR="00C7734A">
        <w:t xml:space="preserve">he </w:t>
      </w:r>
      <w:r>
        <w:t xml:space="preserve">initialization </w:t>
      </w:r>
      <w:r w:rsidR="00C7734A">
        <w:t xml:space="preserve">can </w:t>
      </w:r>
      <w:r>
        <w:t xml:space="preserve">be simplified by omitting </w:t>
      </w:r>
      <w:r w:rsidRPr="00ED3D1F">
        <w:rPr>
          <w:position w:val="-12"/>
        </w:rPr>
        <w:object w:dxaOrig="340" w:dyaOrig="360" w14:anchorId="3E2B3E2B">
          <v:shape id="_x0000_i1057" type="#_x0000_t75" style="width:17.65pt;height:18.35pt" o:ole="">
            <v:imagedata r:id="rId64" o:title=""/>
          </v:shape>
          <o:OLEObject Type="Embed" ProgID="Equation.3" ShapeID="_x0000_i1057" DrawAspect="Content" ObjectID="_1577289250" r:id="rId69"/>
        </w:object>
      </w:r>
      <w:r w:rsidR="00D23620">
        <w:t>.</w:t>
      </w:r>
    </w:p>
    <w:p w14:paraId="367691B4" w14:textId="693C5107" w:rsidR="00E72D59" w:rsidRDefault="00E72D59" w:rsidP="00E72D59">
      <w:pPr>
        <w:pStyle w:val="Proposal"/>
      </w:pPr>
      <w:r>
        <w:t xml:space="preserve">The pseudo-random sequence </w:t>
      </w:r>
      <w:r w:rsidRPr="00F2508E">
        <w:rPr>
          <w:color w:val="4F81BD" w:themeColor="accent1"/>
          <w:position w:val="-10"/>
        </w:rPr>
        <w:object w:dxaOrig="360" w:dyaOrig="300" w14:anchorId="4B2030DB">
          <v:shape id="_x0000_i1058" type="#_x0000_t75" style="width:18.35pt;height:14.8pt" o:ole="">
            <v:imagedata r:id="rId25" o:title=""/>
          </v:shape>
          <o:OLEObject Type="Embed" ProgID="Equation.3" ShapeID="_x0000_i1058" DrawAspect="Content" ObjectID="_1577289251" r:id="rId70"/>
        </w:object>
      </w:r>
      <w:r>
        <w:t xml:space="preserve"> shall be initialized with </w:t>
      </w:r>
      <w:r w:rsidRPr="00E2705C">
        <w:rPr>
          <w:color w:val="FF0000"/>
          <w:position w:val="-12"/>
        </w:rPr>
        <w:object w:dxaOrig="1520" w:dyaOrig="380" w14:anchorId="429BE2EE">
          <v:shape id="_x0000_i1059" type="#_x0000_t75" style="width:76.25pt;height:19.75pt" o:ole="">
            <v:imagedata r:id="rId71" o:title=""/>
          </v:shape>
          <o:OLEObject Type="Embed" ProgID="Equation.3" ShapeID="_x0000_i1059" DrawAspect="Content" ObjectID="_1577289252" r:id="rId72"/>
        </w:object>
      </w:r>
      <w:r w:rsidRPr="00E72D59">
        <w:t>.</w:t>
      </w:r>
    </w:p>
    <w:p w14:paraId="55C3FB58" w14:textId="3210026A" w:rsidR="00E72D59" w:rsidRPr="00552B74" w:rsidRDefault="005C4591" w:rsidP="00A80930">
      <w:r>
        <w:t>As noted in Section 5.2.2 of TS 38.211 [1], each group contains two base sequences (</w:t>
      </w:r>
      <w:r w:rsidRPr="00B431BB">
        <w:rPr>
          <w:position w:val="-8"/>
        </w:rPr>
        <w:object w:dxaOrig="580" w:dyaOrig="260" w14:anchorId="40625A24">
          <v:shape id="_x0000_i1060" type="#_x0000_t75" style="width:28.95pt;height:12.7pt" o:ole="">
            <v:imagedata r:id="rId73" o:title=""/>
          </v:shape>
          <o:OLEObject Type="Embed" ProgID="Equation.3" ShapeID="_x0000_i1060" DrawAspect="Content" ObjectID="_1577289253" r:id="rId74"/>
        </w:object>
      </w:r>
      <w:r>
        <w:t xml:space="preserve">) of each length </w:t>
      </w:r>
      <w:r w:rsidRPr="00DD680B">
        <w:rPr>
          <w:position w:val="-10"/>
        </w:rPr>
        <w:object w:dxaOrig="1180" w:dyaOrig="340" w14:anchorId="1828EC0D">
          <v:shape id="_x0000_i1061" type="#_x0000_t75" style="width:59.3pt;height:16.95pt" o:ole="">
            <v:imagedata r:id="rId75" o:title=""/>
          </v:shape>
          <o:OLEObject Type="Embed" ProgID="Equation.3" ShapeID="_x0000_i1061" DrawAspect="Content" ObjectID="_1577289254" r:id="rId76"/>
        </w:object>
      </w:r>
      <w:r>
        <w:t xml:space="preserve">, </w:t>
      </w:r>
      <w:r w:rsidR="00BB44E4">
        <w:t xml:space="preserve">when </w:t>
      </w:r>
      <w:r w:rsidRPr="00E53834">
        <w:rPr>
          <w:position w:val="-10"/>
        </w:rPr>
        <w:object w:dxaOrig="1380" w:dyaOrig="340" w14:anchorId="74F46172">
          <v:shape id="_x0000_i1062" type="#_x0000_t75" style="width:69.2pt;height:16.95pt" o:ole="">
            <v:imagedata r:id="rId77" o:title=""/>
          </v:shape>
          <o:OLEObject Type="Embed" ProgID="Equation.3" ShapeID="_x0000_i1062" DrawAspect="Content" ObjectID="_1577289255" r:id="rId78"/>
        </w:object>
      </w:r>
      <w:r>
        <w:t xml:space="preserve">. </w:t>
      </w:r>
      <w:r w:rsidR="00BB44E4">
        <w:t xml:space="preserve">So, </w:t>
      </w:r>
      <w:r w:rsidR="00E632AC" w:rsidRPr="00E632AC">
        <w:t xml:space="preserve">sequence hopping </w:t>
      </w:r>
      <w:r w:rsidR="00BB44E4">
        <w:t>can be applied</w:t>
      </w:r>
      <w:r w:rsidR="00E632AC" w:rsidRPr="00E632AC">
        <w:t xml:space="preserve"> when </w:t>
      </w:r>
      <w:r w:rsidR="00BB44E4">
        <w:t xml:space="preserve"> </w:t>
      </w:r>
      <w:r w:rsidR="00BB44E4" w:rsidRPr="00090302">
        <w:rPr>
          <w:position w:val="-14"/>
        </w:rPr>
        <w:object w:dxaOrig="1340" w:dyaOrig="400" w14:anchorId="51483985">
          <v:shape id="_x0000_i1063" type="#_x0000_t75" style="width:67.05pt;height:19.75pt" o:ole="">
            <v:imagedata r:id="rId79" o:title=""/>
          </v:shape>
          <o:OLEObject Type="Embed" ProgID="Equation.3" ShapeID="_x0000_i1063" DrawAspect="Content" ObjectID="_1577289256" r:id="rId80"/>
        </w:object>
      </w:r>
      <w:r w:rsidR="00BB44E4">
        <w:t>.</w:t>
      </w:r>
    </w:p>
    <w:p w14:paraId="226572F9" w14:textId="5D7BFCB6" w:rsidR="00C01BA1" w:rsidRDefault="00E16053" w:rsidP="00C01BA1">
      <w:pPr>
        <w:pStyle w:val="Proposal"/>
      </w:pPr>
      <w:r>
        <w:t>S</w:t>
      </w:r>
      <w:r w:rsidR="00C01BA1">
        <w:t xml:space="preserve">equence hopping </w:t>
      </w:r>
      <w:r>
        <w:t xml:space="preserve">can be applied, i.e., the sequence hopping </w:t>
      </w:r>
      <w:r w:rsidR="00C01BA1">
        <w:t xml:space="preserve">formula is nonzero when </w:t>
      </w:r>
      <w:r w:rsidR="00C01BA1" w:rsidRPr="00090302">
        <w:rPr>
          <w:position w:val="-14"/>
        </w:rPr>
        <w:object w:dxaOrig="1340" w:dyaOrig="400" w14:anchorId="23DAF7E9">
          <v:shape id="_x0000_i1064" type="#_x0000_t75" style="width:67.05pt;height:19.75pt" o:ole="">
            <v:imagedata r:id="rId79" o:title=""/>
          </v:shape>
          <o:OLEObject Type="Embed" ProgID="Equation.3" ShapeID="_x0000_i1064" DrawAspect="Content" ObjectID="_1577289257" r:id="rId81"/>
        </w:object>
      </w:r>
      <w:r w:rsidR="00E72D59">
        <w:t>.</w:t>
      </w:r>
    </w:p>
    <w:p w14:paraId="53FF656E" w14:textId="2EF64FEE" w:rsidR="00F2508E" w:rsidRPr="00C01BA1" w:rsidRDefault="00C01BA1" w:rsidP="00F2508E">
      <w:pPr>
        <w:pStyle w:val="B1"/>
        <w:ind w:left="0" w:firstLine="0"/>
      </w:pPr>
      <w:r w:rsidRPr="00C01BA1">
        <w:t>The proposed correction</w:t>
      </w:r>
      <w:r>
        <w:t>s</w:t>
      </w:r>
      <w:r w:rsidRPr="00C01BA1">
        <w:t xml:space="preserve"> to the </w:t>
      </w:r>
      <w:r>
        <w:t>sequence</w:t>
      </w:r>
      <w:r w:rsidRPr="00C01BA1">
        <w:t xml:space="preserve"> hopping formula </w:t>
      </w:r>
      <w:r>
        <w:t>are</w:t>
      </w:r>
      <w:r w:rsidRPr="00C01BA1">
        <w:t xml:space="preserve"> summarized in the following text proposal, which also includes some minor editorial changes.</w:t>
      </w:r>
    </w:p>
    <w:p w14:paraId="07E2FEC9" w14:textId="0E7A74BF" w:rsidR="00F2508E" w:rsidRDefault="00F2508E" w:rsidP="00F2508E">
      <w:pPr>
        <w:pStyle w:val="Proposal"/>
      </w:pPr>
      <w:r>
        <w:t xml:space="preserve">Modify the paragraph </w:t>
      </w:r>
      <w:r w:rsidR="00EC0FEC">
        <w:t xml:space="preserve">which defines the sequence hopping formula for SRS sequence generation, </w:t>
      </w:r>
      <w:r>
        <w:t>in Section 6.4.1.4.2 of TS 38.211 as</w:t>
      </w:r>
    </w:p>
    <w:p w14:paraId="2A5525FC" w14:textId="77777777" w:rsidR="00F2508E" w:rsidRDefault="00F2508E" w:rsidP="00F2508E">
      <w:r w:rsidRPr="00354010">
        <w:rPr>
          <w:highlight w:val="yellow"/>
        </w:rPr>
        <w:t>&gt;&gt;&gt;&gt;&gt;&gt;&gt;&gt;&gt;&gt;&gt;&gt; Start text proposal &gt;&gt;&gt;&gt;&gt;&gt;&gt;&gt;&gt;&gt;&gt;&gt;</w:t>
      </w:r>
    </w:p>
    <w:p w14:paraId="7A9469CD" w14:textId="770ECD22" w:rsidR="00AE1E6A" w:rsidRPr="001B2DDC" w:rsidRDefault="00AE1E6A" w:rsidP="00AE1E6A">
      <w:pPr>
        <w:pStyle w:val="B1"/>
        <w:rPr>
          <w:rFonts w:eastAsia="Malgun Gothic"/>
          <w:color w:val="FF0000"/>
        </w:rPr>
      </w:pPr>
      <w:r w:rsidRPr="001B2DDC">
        <w:rPr>
          <w:color w:val="FF0000"/>
        </w:rPr>
        <w:t>-</w:t>
      </w:r>
      <w:r w:rsidRPr="001B2DDC">
        <w:rPr>
          <w:color w:val="FF0000"/>
        </w:rPr>
        <w:tab/>
      </w:r>
      <w:r w:rsidRPr="001B2DDC">
        <w:rPr>
          <w:rFonts w:eastAsia="Malgun Gothic"/>
          <w:color w:val="FF0000"/>
        </w:rPr>
        <w:t xml:space="preserve">if </w:t>
      </w:r>
      <w:r w:rsidRPr="001B2DDC">
        <w:rPr>
          <w:rFonts w:eastAsia="Malgun Gothic"/>
          <w:i/>
          <w:color w:val="FF0000"/>
        </w:rPr>
        <w:t>SRS-</w:t>
      </w:r>
      <w:proofErr w:type="spellStart"/>
      <w:r w:rsidRPr="001B2DDC">
        <w:rPr>
          <w:rFonts w:eastAsia="Malgun Gothic"/>
          <w:i/>
          <w:color w:val="FF0000"/>
        </w:rPr>
        <w:t>GroupSequenceHopping</w:t>
      </w:r>
      <w:proofErr w:type="spellEnd"/>
      <w:r w:rsidRPr="001B2DDC">
        <w:rPr>
          <w:rFonts w:eastAsia="Malgun Gothic"/>
          <w:color w:val="FF0000"/>
        </w:rPr>
        <w:t xml:space="preserve"> equals </w:t>
      </w:r>
      <w:r w:rsidR="00E2705C" w:rsidRPr="00E2705C">
        <w:rPr>
          <w:rFonts w:eastAsia="Malgun Gothic"/>
          <w:color w:val="FF0000"/>
        </w:rPr>
        <w:t>‘</w:t>
      </w:r>
      <w:proofErr w:type="spellStart"/>
      <w:r w:rsidR="00E2705C" w:rsidRPr="00E2705C">
        <w:rPr>
          <w:rFonts w:eastAsia="Malgun Gothic"/>
          <w:color w:val="FF0000"/>
        </w:rPr>
        <w:t>sequenceHopping</w:t>
      </w:r>
      <w:proofErr w:type="spellEnd"/>
      <w:r w:rsidR="00E2705C" w:rsidRPr="00E2705C">
        <w:rPr>
          <w:rFonts w:eastAsia="Malgun Gothic"/>
          <w:color w:val="FF0000"/>
        </w:rPr>
        <w:t>’</w:t>
      </w:r>
      <w:r w:rsidRPr="001B2DDC">
        <w:rPr>
          <w:rFonts w:eastAsia="Malgun Gothic"/>
          <w:color w:val="FF0000"/>
        </w:rPr>
        <w:t>, sequence hopping but not group hopping shall be used and</w:t>
      </w:r>
    </w:p>
    <w:p w14:paraId="2AABC866" w14:textId="1AC30221" w:rsidR="00AE1E6A" w:rsidRPr="001B2DDC" w:rsidRDefault="00F360B9" w:rsidP="00AE1E6A">
      <w:pPr>
        <w:pStyle w:val="EQ"/>
        <w:jc w:val="center"/>
        <w:rPr>
          <w:color w:val="FF0000"/>
        </w:rPr>
      </w:pPr>
      <w:r w:rsidRPr="00F360B9">
        <w:rPr>
          <w:color w:val="FF0000"/>
          <w:position w:val="-48"/>
        </w:rPr>
        <w:object w:dxaOrig="4140" w:dyaOrig="1060" w14:anchorId="057796F9">
          <v:shape id="_x0000_i1110" type="#_x0000_t75" style="width:207.55pt;height:52.95pt" o:ole="">
            <v:imagedata r:id="rId82" o:title=""/>
          </v:shape>
          <o:OLEObject Type="Embed" ProgID="Equation.3" ShapeID="_x0000_i1110" DrawAspect="Content" ObjectID="_1577289258" r:id="rId83"/>
        </w:object>
      </w:r>
    </w:p>
    <w:p w14:paraId="1B33AC53" w14:textId="5A9FFEB7" w:rsidR="00AE1E6A" w:rsidRPr="001B2DDC" w:rsidRDefault="00AE1E6A" w:rsidP="00AE1E6A">
      <w:pPr>
        <w:pStyle w:val="B1"/>
        <w:rPr>
          <w:color w:val="FF0000"/>
        </w:rPr>
      </w:pPr>
      <w:r w:rsidRPr="001B2DDC">
        <w:rPr>
          <w:color w:val="FF0000"/>
        </w:rPr>
        <w:tab/>
        <w:t xml:space="preserve">where </w:t>
      </w:r>
      <w:bookmarkStart w:id="1" w:name="_Hlk503390073"/>
      <w:r w:rsidRPr="001B2DDC">
        <w:rPr>
          <w:color w:val="FF0000"/>
        </w:rPr>
        <w:t xml:space="preserve">the pseudo-random sequence </w:t>
      </w:r>
      <w:r w:rsidRPr="001B2DDC">
        <w:rPr>
          <w:color w:val="FF0000"/>
          <w:position w:val="-10"/>
        </w:rPr>
        <w:object w:dxaOrig="360" w:dyaOrig="300" w14:anchorId="57E77ABD">
          <v:shape id="_x0000_i1066" type="#_x0000_t75" style="width:18.35pt;height:14.8pt" o:ole="">
            <v:imagedata r:id="rId25" o:title=""/>
          </v:shape>
          <o:OLEObject Type="Embed" ProgID="Equation.3" ShapeID="_x0000_i1066" DrawAspect="Content" ObjectID="_1577289259" r:id="rId84"/>
        </w:object>
      </w:r>
      <w:r w:rsidRPr="001B2DDC">
        <w:rPr>
          <w:color w:val="FF0000"/>
        </w:rPr>
        <w:t xml:space="preserve"> is defined by clause 5.2.1 and shall be initialized with </w:t>
      </w:r>
      <w:r w:rsidR="00E72D59" w:rsidRPr="00E2705C">
        <w:rPr>
          <w:color w:val="FF0000"/>
          <w:position w:val="-12"/>
        </w:rPr>
        <w:object w:dxaOrig="1520" w:dyaOrig="380" w14:anchorId="665C8BE9">
          <v:shape id="_x0000_i1067" type="#_x0000_t75" style="width:76.25pt;height:19.75pt" o:ole="">
            <v:imagedata r:id="rId71" o:title=""/>
          </v:shape>
          <o:OLEObject Type="Embed" ProgID="Equation.3" ShapeID="_x0000_i1067" DrawAspect="Content" ObjectID="_1577289260" r:id="rId85"/>
        </w:object>
      </w:r>
      <w:r w:rsidR="00E2705C">
        <w:rPr>
          <w:color w:val="FF0000"/>
        </w:rPr>
        <w:t>.</w:t>
      </w:r>
    </w:p>
    <w:bookmarkEnd w:id="1"/>
    <w:p w14:paraId="0F233B18" w14:textId="64653473" w:rsidR="00D56BFE" w:rsidRDefault="00F2508E" w:rsidP="00F2508E">
      <w:r w:rsidRPr="00354010">
        <w:rPr>
          <w:highlight w:val="yellow"/>
        </w:rPr>
        <w:t>&gt;&gt;&gt;&gt;&gt;&gt;&gt;&gt;&gt;&gt;&gt;&gt; End text proposal &gt;&gt;&gt;&gt;&gt;&gt;&gt;&gt;&gt;&gt;&gt;&gt;</w:t>
      </w:r>
    </w:p>
    <w:p w14:paraId="5148ECE0" w14:textId="77823E38" w:rsidR="00D56BFE" w:rsidRDefault="00D56BFE" w:rsidP="00D56BFE">
      <w:pPr>
        <w:pStyle w:val="Heading2"/>
      </w:pPr>
      <w:bookmarkStart w:id="2" w:name="_Hlk503544637"/>
      <w:r>
        <w:t>Section 6.4.1.4.4 Sounding reference signal slot configuration</w:t>
      </w:r>
    </w:p>
    <w:p w14:paraId="6AE6511A" w14:textId="733926A3" w:rsidR="008B14DA" w:rsidRDefault="00D56BFE" w:rsidP="008B14DA">
      <w:bookmarkStart w:id="3" w:name="_Hlk503543338"/>
      <w:r>
        <w:t xml:space="preserve">In Section 6.4.1.4.4, the periodicity and slot offset for periodic and semi-persistent SRS resources is defined. The allowed periodicities are expressed in number of slots and given by </w:t>
      </w:r>
      <m:oMath>
        <m:r>
          <w:rPr>
            <w:rFonts w:ascii="Cambria Math" w:hAnsi="Cambria Math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1,2,5,10,20, 40,80,160,320,640,1280,2560</m:t>
            </m:r>
          </m:e>
        </m:d>
      </m:oMath>
      <w:r>
        <w:t>.</w:t>
      </w:r>
      <w:r w:rsidR="008B14DA">
        <w:t xml:space="preserve"> When a UE is semi-statically configured with a DL/UL configuration, depending on the DL/UL pattern, there are cases that the length of the pattern does not fit well with the SRS periodicity. It can happen that for a given </w:t>
      </w:r>
      <w:r w:rsidR="00E566A3">
        <w:t xml:space="preserve">SRS </w:t>
      </w:r>
      <w:r w:rsidR="008B14DA">
        <w:t>transmission opportunity in a slot defined by the SRS periodicity, the slot is not a slot characterized as ‘uplink’ due to the particular configured DL/UL pattern.</w:t>
      </w:r>
    </w:p>
    <w:p w14:paraId="29057BE2" w14:textId="747EB712" w:rsidR="008B14DA" w:rsidRDefault="008B14DA" w:rsidP="008B14DA">
      <w:r>
        <w:t>For example, consider a UL/DL configuration pattern of length</w:t>
      </w:r>
      <w:r w:rsidR="00E90782">
        <w:t xml:space="preserve"> </w:t>
      </w:r>
      <m:oMath>
        <m:r>
          <w:rPr>
            <w:rFonts w:ascii="Cambria Math" w:hAnsi="Cambria Math"/>
          </w:rPr>
          <m:t>X=3</m:t>
        </m:r>
      </m:oMath>
      <w:r>
        <w:t xml:space="preserve"> slots consisting </w:t>
      </w:r>
      <w:r w:rsidR="00E566A3">
        <w:t>of 1 DL slot</w:t>
      </w:r>
      <w:r w:rsidR="00E90782">
        <w:t xml:space="preserve"> followed by 2 UL slots</w:t>
      </w:r>
      <w:r>
        <w:t xml:space="preserve">. Since there is no </w:t>
      </w:r>
      <w:r w:rsidR="00E90782">
        <w:t xml:space="preserve">defined </w:t>
      </w:r>
      <w:r>
        <w:t xml:space="preserve">SRS periodicity </w:t>
      </w:r>
      <w:r w:rsidR="00E90782">
        <w:t xml:space="preserve">that is </w:t>
      </w:r>
      <w:r>
        <w:t>a multiple of 3 slots, such an  UL/DL pattern would effectively be prohibited. Considering various use cases envisioned for NR deployment, this is a problem that should be resolved. A simple solution to ta</w:t>
      </w:r>
      <w:r w:rsidR="00E90782">
        <w:t>ckle the problem is described by</w:t>
      </w:r>
      <w:r>
        <w:t xml:space="preserve"> </w:t>
      </w:r>
      <w:r w:rsidR="00E90782">
        <w:t>the following.</w:t>
      </w:r>
    </w:p>
    <w:p w14:paraId="5E55BAD9" w14:textId="073CEAF5" w:rsidR="0045745A" w:rsidRDefault="008B14DA" w:rsidP="008B14DA">
      <w:r>
        <w:t>NR already defines a set of periodicity values</w:t>
      </w:r>
      <w:r w:rsidR="00E90782">
        <w:t xml:space="preserve"> as described above</w:t>
      </w:r>
      <w:r w:rsidR="00136DFE">
        <w:t>, and we propose to keep those as is. H</w:t>
      </w:r>
      <w:r>
        <w:t>owever</w:t>
      </w:r>
      <w:r w:rsidR="00E90782">
        <w:t>,</w:t>
      </w:r>
      <w:r>
        <w:t xml:space="preserve"> in case a UE is configured with a semi-static UL/DL pattern</w:t>
      </w:r>
      <w:r w:rsidR="00E90782">
        <w:t xml:space="preserve"> of length </w:t>
      </w:r>
      <w:r w:rsidR="00E90782" w:rsidRPr="00136DFE">
        <w:rPr>
          <w:i/>
        </w:rPr>
        <w:t>X</w:t>
      </w:r>
      <w:r w:rsidR="00E90782">
        <w:t xml:space="preserve"> slots</w:t>
      </w:r>
      <w:r>
        <w:t xml:space="preserve">, the </w:t>
      </w:r>
      <w:r w:rsidR="00E566A3">
        <w:t xml:space="preserve">configured </w:t>
      </w:r>
      <w:r>
        <w:t xml:space="preserve">SRS periodicity </w:t>
      </w:r>
      <w:r w:rsidR="00E90782" w:rsidRPr="00136DFE">
        <w:rPr>
          <w:i/>
        </w:rPr>
        <w:t>P</w:t>
      </w:r>
      <w:r w:rsidR="00E90782">
        <w:t xml:space="preserve"> </w:t>
      </w:r>
      <w:r>
        <w:t xml:space="preserve">and slot </w:t>
      </w:r>
      <w:r>
        <w:lastRenderedPageBreak/>
        <w:t>offset</w:t>
      </w:r>
      <w:r w:rsidR="00E90782">
        <w:t xml:space="preserve"> </w:t>
      </w:r>
      <m:oMath>
        <m:r>
          <w:rPr>
            <w:rFonts w:ascii="Cambria Math" w:hAnsi="Cambria Math"/>
          </w:rPr>
          <m:t>O∈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0,1,…,P-1</m:t>
            </m:r>
          </m:e>
        </m:d>
      </m:oMath>
      <w:r>
        <w:t xml:space="preserve"> </w:t>
      </w:r>
      <w:r w:rsidR="005A6C46">
        <w:t>are</w:t>
      </w:r>
      <w:r>
        <w:t xml:space="preserve"> interpreted</w:t>
      </w:r>
      <w:r w:rsidR="00136DFE">
        <w:t xml:space="preserve"> at the UE instead as periodicity </w:t>
      </w:r>
      <m:oMath>
        <m:r>
          <w:rPr>
            <w:rFonts w:ascii="Cambria Math" w:hAnsi="Cambria Math"/>
          </w:rPr>
          <m:t>X∙P</m:t>
        </m:r>
      </m:oMath>
      <w:r w:rsidR="00136DFE">
        <w:t xml:space="preserve"> slots and offset </w:t>
      </w:r>
      <m:oMath>
        <m:r>
          <w:rPr>
            <w:rFonts w:ascii="Cambria Math" w:hAnsi="Cambria Math"/>
          </w:rPr>
          <m:t xml:space="preserve">X∙O </m:t>
        </m:r>
      </m:oMath>
      <w:r w:rsidR="00136DFE">
        <w:t xml:space="preserve">slots. Furthermore, if there is more than one UL slot in the DL/UL pattern, the UE can be </w:t>
      </w:r>
      <w:r w:rsidR="009574F0">
        <w:t xml:space="preserve">RRC </w:t>
      </w:r>
      <w:r w:rsidR="00136DFE">
        <w:t xml:space="preserve">configured with a </w:t>
      </w:r>
      <w:r w:rsidR="009574F0">
        <w:t>length-</w:t>
      </w:r>
      <w:r w:rsidR="009574F0" w:rsidRPr="009574F0">
        <w:rPr>
          <w:i/>
        </w:rPr>
        <w:t>N</w:t>
      </w:r>
      <w:r w:rsidR="009574F0">
        <w:t xml:space="preserve"> bitmap, </w:t>
      </w:r>
      <w:r w:rsidR="00136DFE">
        <w:t xml:space="preserve">where </w:t>
      </w:r>
      <w:r w:rsidR="00136DFE" w:rsidRPr="009574F0">
        <w:rPr>
          <w:i/>
        </w:rPr>
        <w:t>N</w:t>
      </w:r>
      <w:r w:rsidR="00136DFE">
        <w:t xml:space="preserve"> is the number of uplink slots in the pattern. A ‘1’ in the bitmap indicates that the UE should transmit SRS in the c</w:t>
      </w:r>
      <w:r w:rsidR="005A6C46">
        <w:t xml:space="preserve">orresponding uplink slot of the pattern. With this approach, the “effective periodicity” is </w:t>
      </w:r>
      <m:oMath>
        <m:r>
          <w:rPr>
            <w:rFonts w:ascii="Cambria Math" w:hAnsi="Cambria Math"/>
          </w:rPr>
          <m:t>X∙P/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5A6C46">
        <w:t xml:space="preserve"> slots,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5A6C46">
        <w:t xml:space="preserve"> is the number of ‘1’s in the length-</w:t>
      </w:r>
      <w:r w:rsidR="005A6C46" w:rsidRPr="009574F0">
        <w:rPr>
          <w:i/>
        </w:rPr>
        <w:t>N</w:t>
      </w:r>
      <w:r w:rsidR="005A6C46">
        <w:t xml:space="preserve"> bitmap. With the above example of 1 DL slot and 2 UL slots (</w:t>
      </w:r>
      <m:oMath>
        <m:r>
          <w:rPr>
            <w:rFonts w:ascii="Cambria Math" w:hAnsi="Cambria Math"/>
          </w:rPr>
          <m:t>X=3</m:t>
        </m:r>
      </m:oMath>
      <w:r w:rsidR="005A6C46">
        <w:t>) with both UL slots used for SRS transmission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=2</m:t>
        </m:r>
      </m:oMath>
      <w:r w:rsidR="005A6C46">
        <w:t xml:space="preserve">), the “effective periodicity” is </w:t>
      </w:r>
      <m:oMath>
        <m:r>
          <w:rPr>
            <w:rFonts w:ascii="Cambria Math" w:hAnsi="Cambria Math"/>
          </w:rPr>
          <m:t>3P/2.</m:t>
        </m:r>
      </m:oMath>
      <w:r w:rsidR="0045745A">
        <w:t xml:space="preserve"> This is</w:t>
      </w:r>
      <w:r w:rsidR="006C051D">
        <w:t xml:space="preserve"> illustrated in </w:t>
      </w:r>
      <w:r w:rsidR="006C051D">
        <w:fldChar w:fldCharType="begin"/>
      </w:r>
      <w:r w:rsidR="006C051D">
        <w:instrText xml:space="preserve"> REF _Ref503542718 \h </w:instrText>
      </w:r>
      <w:r w:rsidR="006C051D">
        <w:fldChar w:fldCharType="separate"/>
      </w:r>
      <w:r w:rsidR="006C051D">
        <w:t xml:space="preserve">Figure </w:t>
      </w:r>
      <w:r w:rsidR="006C051D">
        <w:rPr>
          <w:noProof/>
        </w:rPr>
        <w:t>1</w:t>
      </w:r>
      <w:r w:rsidR="006C051D">
        <w:fldChar w:fldCharType="end"/>
      </w:r>
      <w:r w:rsidR="006C051D">
        <w:t>. Based on this discussion we propose the following.</w:t>
      </w:r>
    </w:p>
    <w:p w14:paraId="110BA222" w14:textId="53CABE71" w:rsidR="00F2508E" w:rsidRDefault="008B14DA" w:rsidP="00D55094">
      <w:pPr>
        <w:pStyle w:val="Proposal"/>
      </w:pPr>
      <w:r>
        <w:t xml:space="preserve">When a UE is configured with semi-static UL/DL configuration with a UL/DL pattern of </w:t>
      </w:r>
      <w:r w:rsidR="00ED0560">
        <w:t xml:space="preserve">length </w:t>
      </w:r>
      <w:r>
        <w:t>X slots</w:t>
      </w:r>
      <w:r w:rsidR="00ED0560">
        <w:t xml:space="preserve"> </w:t>
      </w:r>
      <w:r w:rsidR="0045745A">
        <w:t>with N &lt; X slots</w:t>
      </w:r>
      <w:r w:rsidR="00ED0560">
        <w:t xml:space="preserve"> </w:t>
      </w:r>
      <w:r w:rsidR="0045745A">
        <w:t xml:space="preserve">as </w:t>
      </w:r>
      <w:r w:rsidR="00ED0560">
        <w:t>UL</w:t>
      </w:r>
      <w:r>
        <w:t>,</w:t>
      </w:r>
      <w:r w:rsidR="00ED0560">
        <w:t xml:space="preserve"> t</w:t>
      </w:r>
      <w:r>
        <w:t xml:space="preserve">he UE </w:t>
      </w:r>
      <w:r w:rsidR="00ED0560">
        <w:t>interprets</w:t>
      </w:r>
      <w:r>
        <w:t xml:space="preserve"> the </w:t>
      </w:r>
      <w:r w:rsidR="00ED0560">
        <w:t>configured SRS</w:t>
      </w:r>
      <w:r>
        <w:t xml:space="preserve"> periodicity </w:t>
      </w:r>
      <w:r w:rsidR="00ED0560">
        <w:t xml:space="preserve">P </w:t>
      </w:r>
      <w:r>
        <w:t xml:space="preserve">and </w:t>
      </w:r>
      <w:r w:rsidR="00ED0560">
        <w:t xml:space="preserve">slot </w:t>
      </w:r>
      <w:r>
        <w:t>offset</w:t>
      </w:r>
      <w:r w:rsidR="00ED0560">
        <w:t xml:space="preserve"> O instead as P*X </w:t>
      </w:r>
      <w:r w:rsidR="0045745A">
        <w:t xml:space="preserve">slots </w:t>
      </w:r>
      <w:r w:rsidR="00ED0560">
        <w:t>and O*X</w:t>
      </w:r>
      <w:r w:rsidR="0045745A">
        <w:t xml:space="preserve"> slots</w:t>
      </w:r>
      <w:r w:rsidR="00ED0560">
        <w:t>, respectively</w:t>
      </w:r>
      <w:r w:rsidR="0045745A">
        <w:t>. The UE is additionally configured with a length-N bitmap, where a ‘1’ in the bitmap indicates that the corresponding UL slot in the DL/UL pattern is to be used to transmit SRS according to the interpreted periodicity and slot offset.</w:t>
      </w:r>
    </w:p>
    <w:p w14:paraId="3E62944B" w14:textId="77777777" w:rsidR="006C051D" w:rsidRDefault="006C051D" w:rsidP="006C051D">
      <w:pPr>
        <w:pStyle w:val="Proposal"/>
        <w:keepNext/>
        <w:numPr>
          <w:ilvl w:val="0"/>
          <w:numId w:val="0"/>
        </w:numPr>
        <w:ind w:left="1701" w:hanging="1701"/>
        <w:jc w:val="center"/>
      </w:pPr>
      <w:r>
        <w:rPr>
          <w:noProof/>
        </w:rPr>
        <w:drawing>
          <wp:inline distT="0" distB="0" distL="0" distR="0" wp14:anchorId="052DB45D" wp14:editId="4B324166">
            <wp:extent cx="4572000" cy="23225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225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F8CF7E" w14:textId="6E04727D" w:rsidR="0045745A" w:rsidRDefault="006C051D" w:rsidP="006C051D">
      <w:pPr>
        <w:pStyle w:val="Caption"/>
      </w:pPr>
      <w:bookmarkStart w:id="4" w:name="_Ref5035427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: Example of length X = 3 semi-static DL/UL configuration. The UE is configured with periodicity </w:t>
      </w:r>
      <w:r w:rsidRPr="006C051D">
        <w:rPr>
          <w:i/>
        </w:rPr>
        <w:t>P</w:t>
      </w:r>
      <w:r>
        <w:t xml:space="preserve"> = 2 and slot offset </w:t>
      </w:r>
      <w:r w:rsidRPr="006C051D">
        <w:rPr>
          <w:i/>
        </w:rPr>
        <w:t>O</w:t>
      </w:r>
      <w:r>
        <w:t xml:space="preserve"> = 1 and is configured with a length-2 bitmap = [1 1]. SRS is transmitted in 2 out of every 6 slots.  </w:t>
      </w:r>
    </w:p>
    <w:p w14:paraId="5B3C850D" w14:textId="77777777" w:rsidR="00F507D1" w:rsidRPr="00CE0424" w:rsidRDefault="00F507D1" w:rsidP="00CE0424">
      <w:pPr>
        <w:pStyle w:val="Heading1"/>
      </w:pPr>
      <w:bookmarkStart w:id="5" w:name="_In-sequence_SDU_delivery"/>
      <w:bookmarkEnd w:id="2"/>
      <w:bookmarkEnd w:id="3"/>
      <w:bookmarkEnd w:id="5"/>
      <w:r w:rsidRPr="00CE0424">
        <w:t>References</w:t>
      </w:r>
    </w:p>
    <w:p w14:paraId="3BC9304B" w14:textId="26681CA2" w:rsidR="003A7EF3" w:rsidRPr="00CE0424" w:rsidRDefault="00CE6964" w:rsidP="00CE6964">
      <w:pPr>
        <w:pStyle w:val="Reference"/>
      </w:pPr>
      <w:bookmarkStart w:id="6" w:name="_Ref503285570"/>
      <w:r>
        <w:t>3GPP TS 38.211 V15.0.0, “Physical channels and modulation,” December 2017.</w:t>
      </w:r>
      <w:bookmarkEnd w:id="6"/>
    </w:p>
    <w:sectPr w:rsidR="003A7EF3" w:rsidRPr="00CE0424" w:rsidSect="00C02A4C">
      <w:headerReference w:type="even" r:id="rId87"/>
      <w:footerReference w:type="default" r:id="rId8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FB047" w14:textId="77777777" w:rsidR="00575B25" w:rsidRDefault="00575B25">
      <w:r>
        <w:separator/>
      </w:r>
    </w:p>
  </w:endnote>
  <w:endnote w:type="continuationSeparator" w:id="0">
    <w:p w14:paraId="70FF5BC7" w14:textId="77777777" w:rsidR="00575B25" w:rsidRDefault="0057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6C35023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360B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360B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67208" w14:textId="77777777" w:rsidR="00575B25" w:rsidRDefault="00575B25">
      <w:r>
        <w:separator/>
      </w:r>
    </w:p>
  </w:footnote>
  <w:footnote w:type="continuationSeparator" w:id="0">
    <w:p w14:paraId="69808813" w14:textId="77777777" w:rsidR="00575B25" w:rsidRDefault="0057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5B6382"/>
    <w:multiLevelType w:val="hybridMultilevel"/>
    <w:tmpl w:val="6AD25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579F1"/>
    <w:multiLevelType w:val="hybridMultilevel"/>
    <w:tmpl w:val="F0381C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7"/>
  </w:num>
  <w:num w:numId="6">
    <w:abstractNumId w:val="13"/>
  </w:num>
  <w:num w:numId="7">
    <w:abstractNumId w:val="16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10"/>
  </w:num>
  <w:num w:numId="16">
    <w:abstractNumId w:val="4"/>
  </w:num>
  <w:num w:numId="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3DDD"/>
    <w:rsid w:val="000444EF"/>
    <w:rsid w:val="00052A07"/>
    <w:rsid w:val="000534E3"/>
    <w:rsid w:val="0005606A"/>
    <w:rsid w:val="00057117"/>
    <w:rsid w:val="000616E7"/>
    <w:rsid w:val="0006487E"/>
    <w:rsid w:val="00065E1A"/>
    <w:rsid w:val="00074FE4"/>
    <w:rsid w:val="00077E5F"/>
    <w:rsid w:val="0008036A"/>
    <w:rsid w:val="00081AE6"/>
    <w:rsid w:val="0008265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D7B"/>
    <w:rsid w:val="000C165A"/>
    <w:rsid w:val="000C2E19"/>
    <w:rsid w:val="000C4C24"/>
    <w:rsid w:val="000C5734"/>
    <w:rsid w:val="000D0D07"/>
    <w:rsid w:val="000D2C82"/>
    <w:rsid w:val="000D4797"/>
    <w:rsid w:val="000D74EB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5F8"/>
    <w:rsid w:val="00136DFE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65F1A"/>
    <w:rsid w:val="00173A8E"/>
    <w:rsid w:val="00175C59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2DDC"/>
    <w:rsid w:val="001B5A5D"/>
    <w:rsid w:val="001C0A2D"/>
    <w:rsid w:val="001C1CE5"/>
    <w:rsid w:val="001C3D2A"/>
    <w:rsid w:val="001D51BA"/>
    <w:rsid w:val="001D6342"/>
    <w:rsid w:val="001D65EC"/>
    <w:rsid w:val="001D6D53"/>
    <w:rsid w:val="001E2560"/>
    <w:rsid w:val="001E2A4F"/>
    <w:rsid w:val="001E2CEF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27F4"/>
    <w:rsid w:val="002435B3"/>
    <w:rsid w:val="002451ED"/>
    <w:rsid w:val="002458EB"/>
    <w:rsid w:val="002500C8"/>
    <w:rsid w:val="00257543"/>
    <w:rsid w:val="002611E7"/>
    <w:rsid w:val="002617E7"/>
    <w:rsid w:val="002625E0"/>
    <w:rsid w:val="00264228"/>
    <w:rsid w:val="00264334"/>
    <w:rsid w:val="0026473E"/>
    <w:rsid w:val="00266214"/>
    <w:rsid w:val="002668DE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5A7D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B9A"/>
    <w:rsid w:val="00313FD6"/>
    <w:rsid w:val="003143BD"/>
    <w:rsid w:val="003203ED"/>
    <w:rsid w:val="0032080A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6AD"/>
    <w:rsid w:val="00374ADB"/>
    <w:rsid w:val="00377CE1"/>
    <w:rsid w:val="00380369"/>
    <w:rsid w:val="00385BF0"/>
    <w:rsid w:val="003930B5"/>
    <w:rsid w:val="003939FF"/>
    <w:rsid w:val="003A0E41"/>
    <w:rsid w:val="003A2223"/>
    <w:rsid w:val="003A2A0F"/>
    <w:rsid w:val="003A2AD8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FC3"/>
    <w:rsid w:val="00437447"/>
    <w:rsid w:val="00441782"/>
    <w:rsid w:val="00441A92"/>
    <w:rsid w:val="00444F56"/>
    <w:rsid w:val="00446488"/>
    <w:rsid w:val="004517AA"/>
    <w:rsid w:val="00452CAC"/>
    <w:rsid w:val="0045745A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7961"/>
    <w:rsid w:val="00534B59"/>
    <w:rsid w:val="00536759"/>
    <w:rsid w:val="00537C62"/>
    <w:rsid w:val="00546970"/>
    <w:rsid w:val="00552B74"/>
    <w:rsid w:val="00554192"/>
    <w:rsid w:val="00554E19"/>
    <w:rsid w:val="0056121F"/>
    <w:rsid w:val="00572505"/>
    <w:rsid w:val="00575B25"/>
    <w:rsid w:val="00575DA6"/>
    <w:rsid w:val="00577879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A6C46"/>
    <w:rsid w:val="005A6E6C"/>
    <w:rsid w:val="005B35D7"/>
    <w:rsid w:val="005B392A"/>
    <w:rsid w:val="005B3AA3"/>
    <w:rsid w:val="005B6F83"/>
    <w:rsid w:val="005C4591"/>
    <w:rsid w:val="005C6DD7"/>
    <w:rsid w:val="005C74FB"/>
    <w:rsid w:val="005D1602"/>
    <w:rsid w:val="005D320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57D1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0AD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364"/>
    <w:rsid w:val="00675C72"/>
    <w:rsid w:val="006768E4"/>
    <w:rsid w:val="006771F9"/>
    <w:rsid w:val="006776D7"/>
    <w:rsid w:val="00681003"/>
    <w:rsid w:val="006817C9"/>
    <w:rsid w:val="00683ECE"/>
    <w:rsid w:val="0068432C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051D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38A2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16009"/>
    <w:rsid w:val="00717DA2"/>
    <w:rsid w:val="00723C4D"/>
    <w:rsid w:val="0072495D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A2B"/>
    <w:rsid w:val="00777D37"/>
    <w:rsid w:val="0078177E"/>
    <w:rsid w:val="0078304C"/>
    <w:rsid w:val="00783673"/>
    <w:rsid w:val="00785490"/>
    <w:rsid w:val="00790181"/>
    <w:rsid w:val="00790B99"/>
    <w:rsid w:val="007925EA"/>
    <w:rsid w:val="00793CD8"/>
    <w:rsid w:val="00795C92"/>
    <w:rsid w:val="00796231"/>
    <w:rsid w:val="007A0A8A"/>
    <w:rsid w:val="007A1CB3"/>
    <w:rsid w:val="007A306F"/>
    <w:rsid w:val="007A43A6"/>
    <w:rsid w:val="007A58A6"/>
    <w:rsid w:val="007A5B38"/>
    <w:rsid w:val="007B3D2D"/>
    <w:rsid w:val="007B50AE"/>
    <w:rsid w:val="007B51DF"/>
    <w:rsid w:val="007B65CE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56C5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E4A"/>
    <w:rsid w:val="00856911"/>
    <w:rsid w:val="008677FD"/>
    <w:rsid w:val="008706D4"/>
    <w:rsid w:val="00870F8A"/>
    <w:rsid w:val="008719A4"/>
    <w:rsid w:val="00871D23"/>
    <w:rsid w:val="00874312"/>
    <w:rsid w:val="0087437C"/>
    <w:rsid w:val="00874B9D"/>
    <w:rsid w:val="00875CD7"/>
    <w:rsid w:val="00876B4D"/>
    <w:rsid w:val="00877F18"/>
    <w:rsid w:val="00884AB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D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39D"/>
    <w:rsid w:val="008F1EAB"/>
    <w:rsid w:val="008F33DC"/>
    <w:rsid w:val="008F477F"/>
    <w:rsid w:val="00902350"/>
    <w:rsid w:val="0090336B"/>
    <w:rsid w:val="009053AA"/>
    <w:rsid w:val="00906939"/>
    <w:rsid w:val="00910B7D"/>
    <w:rsid w:val="009117D3"/>
    <w:rsid w:val="00911DFB"/>
    <w:rsid w:val="009139D9"/>
    <w:rsid w:val="00914AD8"/>
    <w:rsid w:val="00916079"/>
    <w:rsid w:val="00917CE9"/>
    <w:rsid w:val="00920BF2"/>
    <w:rsid w:val="00922010"/>
    <w:rsid w:val="00931BD9"/>
    <w:rsid w:val="0093366A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574F0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0571"/>
    <w:rsid w:val="00985253"/>
    <w:rsid w:val="009853B3"/>
    <w:rsid w:val="00985BFD"/>
    <w:rsid w:val="00990630"/>
    <w:rsid w:val="00991761"/>
    <w:rsid w:val="00994DCA"/>
    <w:rsid w:val="009960E4"/>
    <w:rsid w:val="009960EC"/>
    <w:rsid w:val="009970DD"/>
    <w:rsid w:val="00997CB2"/>
    <w:rsid w:val="009A0FBA"/>
    <w:rsid w:val="009A1601"/>
    <w:rsid w:val="009A18A7"/>
    <w:rsid w:val="009A1933"/>
    <w:rsid w:val="009A462D"/>
    <w:rsid w:val="009A57E3"/>
    <w:rsid w:val="009A5CBA"/>
    <w:rsid w:val="009B1F30"/>
    <w:rsid w:val="009B3AC2"/>
    <w:rsid w:val="009B4DF4"/>
    <w:rsid w:val="009B564E"/>
    <w:rsid w:val="009B7E87"/>
    <w:rsid w:val="009C2304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5EB0"/>
    <w:rsid w:val="00A13E54"/>
    <w:rsid w:val="00A15745"/>
    <w:rsid w:val="00A17F63"/>
    <w:rsid w:val="00A2193B"/>
    <w:rsid w:val="00A2351A"/>
    <w:rsid w:val="00A264A9"/>
    <w:rsid w:val="00A269A2"/>
    <w:rsid w:val="00A27785"/>
    <w:rsid w:val="00A30187"/>
    <w:rsid w:val="00A32DE4"/>
    <w:rsid w:val="00A3448A"/>
    <w:rsid w:val="00A34EAD"/>
    <w:rsid w:val="00A36297"/>
    <w:rsid w:val="00A41E2B"/>
    <w:rsid w:val="00A45B74"/>
    <w:rsid w:val="00A5056E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930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D649A"/>
    <w:rsid w:val="00AE1E6A"/>
    <w:rsid w:val="00AE27AC"/>
    <w:rsid w:val="00AE2FEB"/>
    <w:rsid w:val="00AE40E0"/>
    <w:rsid w:val="00AE445F"/>
    <w:rsid w:val="00AE4DBA"/>
    <w:rsid w:val="00AE4F07"/>
    <w:rsid w:val="00AF0198"/>
    <w:rsid w:val="00AF04AF"/>
    <w:rsid w:val="00AF1C5D"/>
    <w:rsid w:val="00AF238B"/>
    <w:rsid w:val="00AF42D7"/>
    <w:rsid w:val="00B006FE"/>
    <w:rsid w:val="00B007CB"/>
    <w:rsid w:val="00B02AA9"/>
    <w:rsid w:val="00B02FA3"/>
    <w:rsid w:val="00B03374"/>
    <w:rsid w:val="00B05084"/>
    <w:rsid w:val="00B061C4"/>
    <w:rsid w:val="00B157F9"/>
    <w:rsid w:val="00B20256"/>
    <w:rsid w:val="00B20D09"/>
    <w:rsid w:val="00B2763F"/>
    <w:rsid w:val="00B27AAC"/>
    <w:rsid w:val="00B30929"/>
    <w:rsid w:val="00B3356F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085E"/>
    <w:rsid w:val="00BA1423"/>
    <w:rsid w:val="00BA2280"/>
    <w:rsid w:val="00BA2A08"/>
    <w:rsid w:val="00BA56D2"/>
    <w:rsid w:val="00BA76E0"/>
    <w:rsid w:val="00BB2A25"/>
    <w:rsid w:val="00BB44E4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BA1"/>
    <w:rsid w:val="00C01F33"/>
    <w:rsid w:val="00C02A4C"/>
    <w:rsid w:val="00C02CC6"/>
    <w:rsid w:val="00C040F7"/>
    <w:rsid w:val="00C044AB"/>
    <w:rsid w:val="00C05706"/>
    <w:rsid w:val="00C06514"/>
    <w:rsid w:val="00C07377"/>
    <w:rsid w:val="00C10478"/>
    <w:rsid w:val="00C12107"/>
    <w:rsid w:val="00C14D4B"/>
    <w:rsid w:val="00C154BB"/>
    <w:rsid w:val="00C275C2"/>
    <w:rsid w:val="00C279B5"/>
    <w:rsid w:val="00C27C45"/>
    <w:rsid w:val="00C3719D"/>
    <w:rsid w:val="00C54995"/>
    <w:rsid w:val="00C54D41"/>
    <w:rsid w:val="00C60783"/>
    <w:rsid w:val="00C64672"/>
    <w:rsid w:val="00C66D15"/>
    <w:rsid w:val="00C70697"/>
    <w:rsid w:val="00C70971"/>
    <w:rsid w:val="00C72800"/>
    <w:rsid w:val="00C72EF4"/>
    <w:rsid w:val="00C75D2F"/>
    <w:rsid w:val="00C767BE"/>
    <w:rsid w:val="00C76E3C"/>
    <w:rsid w:val="00C7734A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5371"/>
    <w:rsid w:val="00CC7B45"/>
    <w:rsid w:val="00CD0D9B"/>
    <w:rsid w:val="00CD1188"/>
    <w:rsid w:val="00CD2ED1"/>
    <w:rsid w:val="00CD337B"/>
    <w:rsid w:val="00CE0424"/>
    <w:rsid w:val="00CE696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7D8"/>
    <w:rsid w:val="00D23620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094"/>
    <w:rsid w:val="00D55AD5"/>
    <w:rsid w:val="00D56BFE"/>
    <w:rsid w:val="00D576CA"/>
    <w:rsid w:val="00D61A2F"/>
    <w:rsid w:val="00D61AF5"/>
    <w:rsid w:val="00D652B5"/>
    <w:rsid w:val="00D66155"/>
    <w:rsid w:val="00D66794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441"/>
    <w:rsid w:val="00DC2639"/>
    <w:rsid w:val="00DC2D36"/>
    <w:rsid w:val="00DC2DA0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6053"/>
    <w:rsid w:val="00E17FA2"/>
    <w:rsid w:val="00E2165E"/>
    <w:rsid w:val="00E22330"/>
    <w:rsid w:val="00E2705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6A3"/>
    <w:rsid w:val="00E5689D"/>
    <w:rsid w:val="00E57565"/>
    <w:rsid w:val="00E632AC"/>
    <w:rsid w:val="00E63838"/>
    <w:rsid w:val="00E64434"/>
    <w:rsid w:val="00E6444F"/>
    <w:rsid w:val="00E64B80"/>
    <w:rsid w:val="00E67C51"/>
    <w:rsid w:val="00E7079E"/>
    <w:rsid w:val="00E72D59"/>
    <w:rsid w:val="00E72EFC"/>
    <w:rsid w:val="00E757B6"/>
    <w:rsid w:val="00E758EC"/>
    <w:rsid w:val="00E8234C"/>
    <w:rsid w:val="00E83AA9"/>
    <w:rsid w:val="00E85928"/>
    <w:rsid w:val="00E87822"/>
    <w:rsid w:val="00E90395"/>
    <w:rsid w:val="00E90782"/>
    <w:rsid w:val="00E90E49"/>
    <w:rsid w:val="00E917F9"/>
    <w:rsid w:val="00E9291C"/>
    <w:rsid w:val="00E936FE"/>
    <w:rsid w:val="00E93FFE"/>
    <w:rsid w:val="00E94F8A"/>
    <w:rsid w:val="00EA0BAB"/>
    <w:rsid w:val="00EA4B16"/>
    <w:rsid w:val="00EA7A41"/>
    <w:rsid w:val="00EB077B"/>
    <w:rsid w:val="00EB4EA2"/>
    <w:rsid w:val="00EC0FEC"/>
    <w:rsid w:val="00EC27C6"/>
    <w:rsid w:val="00EC4207"/>
    <w:rsid w:val="00EC5653"/>
    <w:rsid w:val="00EC71CE"/>
    <w:rsid w:val="00EC77A7"/>
    <w:rsid w:val="00ED0560"/>
    <w:rsid w:val="00ED1006"/>
    <w:rsid w:val="00EE0E81"/>
    <w:rsid w:val="00EE59C8"/>
    <w:rsid w:val="00EF18FE"/>
    <w:rsid w:val="00EF5787"/>
    <w:rsid w:val="00EF60D0"/>
    <w:rsid w:val="00EF6C0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08E"/>
    <w:rsid w:val="00F30828"/>
    <w:rsid w:val="00F313D6"/>
    <w:rsid w:val="00F360B9"/>
    <w:rsid w:val="00F37DDE"/>
    <w:rsid w:val="00F40F0C"/>
    <w:rsid w:val="00F4766C"/>
    <w:rsid w:val="00F5060E"/>
    <w:rsid w:val="00F507D1"/>
    <w:rsid w:val="00F519CE"/>
    <w:rsid w:val="00F51ADA"/>
    <w:rsid w:val="00F539EA"/>
    <w:rsid w:val="00F54A0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A07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A74"/>
    <w:rsid w:val="00F90F8D"/>
    <w:rsid w:val="00F92782"/>
    <w:rsid w:val="00F93AA9"/>
    <w:rsid w:val="00F96985"/>
    <w:rsid w:val="00F97838"/>
    <w:rsid w:val="00FA0ABD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444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6444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44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44F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44F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44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44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44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44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44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44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444F"/>
  </w:style>
  <w:style w:type="paragraph" w:styleId="TOC8">
    <w:name w:val="toc 8"/>
    <w:basedOn w:val="TOC1"/>
    <w:semiHidden/>
    <w:rsid w:val="00E6444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44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44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44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44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44F"/>
    <w:pPr>
      <w:ind w:left="1418" w:hanging="1418"/>
    </w:pPr>
  </w:style>
  <w:style w:type="paragraph" w:styleId="TOC3">
    <w:name w:val="toc 3"/>
    <w:basedOn w:val="TOC2"/>
    <w:semiHidden/>
    <w:rsid w:val="00E6444F"/>
    <w:pPr>
      <w:ind w:left="1134" w:hanging="1134"/>
    </w:pPr>
  </w:style>
  <w:style w:type="paragraph" w:styleId="TOC2">
    <w:name w:val="toc 2"/>
    <w:basedOn w:val="TOC1"/>
    <w:semiHidden/>
    <w:rsid w:val="00E6444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44F"/>
    <w:pPr>
      <w:ind w:left="284"/>
    </w:pPr>
  </w:style>
  <w:style w:type="paragraph" w:styleId="Index1">
    <w:name w:val="index 1"/>
    <w:basedOn w:val="Normal"/>
    <w:semiHidden/>
    <w:rsid w:val="00E6444F"/>
    <w:pPr>
      <w:keepLines/>
      <w:spacing w:after="0"/>
    </w:pPr>
  </w:style>
  <w:style w:type="paragraph" w:styleId="DocumentMap">
    <w:name w:val="Document Map"/>
    <w:basedOn w:val="Normal"/>
    <w:semiHidden/>
    <w:rsid w:val="00E6444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44F"/>
    <w:pPr>
      <w:ind w:left="851"/>
    </w:pPr>
  </w:style>
  <w:style w:type="paragraph" w:styleId="ListNumber">
    <w:name w:val="List Number"/>
    <w:basedOn w:val="List"/>
    <w:rsid w:val="00E6444F"/>
  </w:style>
  <w:style w:type="paragraph" w:styleId="List">
    <w:name w:val="List"/>
    <w:basedOn w:val="Normal"/>
    <w:rsid w:val="00E6444F"/>
    <w:pPr>
      <w:ind w:left="568" w:hanging="284"/>
    </w:pPr>
  </w:style>
  <w:style w:type="paragraph" w:styleId="Header">
    <w:name w:val="header"/>
    <w:rsid w:val="00E644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44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44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44F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44F"/>
    <w:pPr>
      <w:ind w:left="1418" w:hanging="1418"/>
    </w:pPr>
  </w:style>
  <w:style w:type="paragraph" w:styleId="TOC6">
    <w:name w:val="toc 6"/>
    <w:basedOn w:val="TOC5"/>
    <w:next w:val="Normal"/>
    <w:semiHidden/>
    <w:rsid w:val="00E6444F"/>
    <w:pPr>
      <w:ind w:left="1985" w:hanging="1985"/>
    </w:pPr>
  </w:style>
  <w:style w:type="paragraph" w:styleId="TOC7">
    <w:name w:val="toc 7"/>
    <w:basedOn w:val="TOC6"/>
    <w:next w:val="Normal"/>
    <w:semiHidden/>
    <w:rsid w:val="00E6444F"/>
    <w:pPr>
      <w:ind w:left="2268" w:hanging="2268"/>
    </w:pPr>
  </w:style>
  <w:style w:type="paragraph" w:styleId="ListBullet2">
    <w:name w:val="List Bullet 2"/>
    <w:basedOn w:val="ListBullet"/>
    <w:rsid w:val="00E6444F"/>
    <w:pPr>
      <w:numPr>
        <w:numId w:val="6"/>
      </w:numPr>
    </w:pPr>
  </w:style>
  <w:style w:type="paragraph" w:styleId="ListBullet">
    <w:name w:val="List Bullet"/>
    <w:basedOn w:val="BodyText"/>
    <w:rsid w:val="00E6444F"/>
    <w:pPr>
      <w:numPr>
        <w:numId w:val="5"/>
      </w:numPr>
    </w:pPr>
  </w:style>
  <w:style w:type="paragraph" w:styleId="ListBullet3">
    <w:name w:val="List Bullet 3"/>
    <w:basedOn w:val="ListBullet2"/>
    <w:rsid w:val="00E6444F"/>
    <w:pPr>
      <w:numPr>
        <w:numId w:val="7"/>
      </w:numPr>
    </w:pPr>
  </w:style>
  <w:style w:type="paragraph" w:customStyle="1" w:styleId="EQ">
    <w:name w:val="EQ"/>
    <w:basedOn w:val="Normal"/>
    <w:next w:val="Normal"/>
    <w:rsid w:val="00E6444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6444F"/>
    <w:pPr>
      <w:ind w:left="851"/>
    </w:pPr>
  </w:style>
  <w:style w:type="paragraph" w:styleId="List3">
    <w:name w:val="List 3"/>
    <w:basedOn w:val="List2"/>
    <w:rsid w:val="00E6444F"/>
    <w:pPr>
      <w:ind w:left="1135"/>
    </w:pPr>
  </w:style>
  <w:style w:type="paragraph" w:styleId="List4">
    <w:name w:val="List 4"/>
    <w:basedOn w:val="List3"/>
    <w:rsid w:val="00E6444F"/>
    <w:pPr>
      <w:ind w:left="1418"/>
    </w:pPr>
  </w:style>
  <w:style w:type="paragraph" w:styleId="List5">
    <w:name w:val="List 5"/>
    <w:basedOn w:val="List4"/>
    <w:rsid w:val="00E6444F"/>
    <w:pPr>
      <w:ind w:left="1702"/>
    </w:pPr>
  </w:style>
  <w:style w:type="paragraph" w:customStyle="1" w:styleId="EditorsNote">
    <w:name w:val="Editor's Note"/>
    <w:basedOn w:val="Normal"/>
    <w:rsid w:val="00E6444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6444F"/>
    <w:pPr>
      <w:numPr>
        <w:numId w:val="8"/>
      </w:numPr>
    </w:pPr>
  </w:style>
  <w:style w:type="paragraph" w:styleId="ListBullet5">
    <w:name w:val="List Bullet 5"/>
    <w:basedOn w:val="ListBullet4"/>
    <w:rsid w:val="00E6444F"/>
    <w:pPr>
      <w:numPr>
        <w:numId w:val="4"/>
      </w:numPr>
    </w:pPr>
  </w:style>
  <w:style w:type="paragraph" w:styleId="Footer">
    <w:name w:val="footer"/>
    <w:basedOn w:val="Header"/>
    <w:semiHidden/>
    <w:rsid w:val="00E6444F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6444F"/>
    <w:pPr>
      <w:numPr>
        <w:numId w:val="2"/>
      </w:numPr>
    </w:pPr>
  </w:style>
  <w:style w:type="paragraph" w:styleId="BalloonText">
    <w:name w:val="Balloon Text"/>
    <w:basedOn w:val="Normal"/>
    <w:semiHidden/>
    <w:rsid w:val="00E6444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44F"/>
  </w:style>
  <w:style w:type="paragraph" w:styleId="BodyText">
    <w:name w:val="Body Text"/>
    <w:basedOn w:val="Normal"/>
    <w:link w:val="BodyTextChar"/>
    <w:qFormat/>
    <w:rsid w:val="00E6444F"/>
  </w:style>
  <w:style w:type="character" w:styleId="Hyperlink">
    <w:name w:val="Hyperlink"/>
    <w:uiPriority w:val="99"/>
    <w:rsid w:val="00E6444F"/>
    <w:rPr>
      <w:color w:val="0000FF"/>
      <w:u w:val="single"/>
      <w:lang w:val="en-GB"/>
    </w:rPr>
  </w:style>
  <w:style w:type="character" w:styleId="FollowedHyperlink">
    <w:name w:val="FollowedHyperlink"/>
    <w:semiHidden/>
    <w:rsid w:val="00E6444F"/>
    <w:rPr>
      <w:color w:val="FF0000"/>
      <w:u w:val="single"/>
    </w:rPr>
  </w:style>
  <w:style w:type="character" w:styleId="CommentReference">
    <w:name w:val="annotation reference"/>
    <w:rsid w:val="00E644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444F"/>
  </w:style>
  <w:style w:type="paragraph" w:styleId="CommentSubject">
    <w:name w:val="annotation subject"/>
    <w:basedOn w:val="CommentText"/>
    <w:next w:val="CommentText"/>
    <w:semiHidden/>
    <w:rsid w:val="00E6444F"/>
    <w:rPr>
      <w:b/>
      <w:bCs/>
    </w:rPr>
  </w:style>
  <w:style w:type="character" w:customStyle="1" w:styleId="Heading1Char">
    <w:name w:val="Heading 1 Char"/>
    <w:link w:val="Heading1"/>
    <w:rsid w:val="00E6444F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rsid w:val="00E6444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6444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6444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6444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6444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44F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44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6444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6444F"/>
    <w:pPr>
      <w:spacing w:after="0"/>
    </w:pPr>
  </w:style>
  <w:style w:type="paragraph" w:customStyle="1" w:styleId="TAL">
    <w:name w:val="TAL"/>
    <w:basedOn w:val="Normal"/>
    <w:rsid w:val="00E6444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6444F"/>
    <w:pPr>
      <w:jc w:val="center"/>
    </w:pPr>
  </w:style>
  <w:style w:type="paragraph" w:customStyle="1" w:styleId="TAH">
    <w:name w:val="TAH"/>
    <w:basedOn w:val="TAC"/>
    <w:rsid w:val="00E6444F"/>
    <w:rPr>
      <w:b/>
    </w:rPr>
  </w:style>
  <w:style w:type="paragraph" w:customStyle="1" w:styleId="TAN">
    <w:name w:val="TAN"/>
    <w:basedOn w:val="TAL"/>
    <w:rsid w:val="00E6444F"/>
    <w:pPr>
      <w:ind w:left="851" w:hanging="851"/>
    </w:pPr>
  </w:style>
  <w:style w:type="paragraph" w:customStyle="1" w:styleId="TAR">
    <w:name w:val="TAR"/>
    <w:basedOn w:val="TAL"/>
    <w:rsid w:val="00E6444F"/>
    <w:pPr>
      <w:jc w:val="right"/>
    </w:pPr>
  </w:style>
  <w:style w:type="paragraph" w:customStyle="1" w:styleId="TH">
    <w:name w:val="TH"/>
    <w:basedOn w:val="Normal"/>
    <w:rsid w:val="00E6444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44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44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4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4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4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4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44F"/>
  </w:style>
  <w:style w:type="paragraph" w:customStyle="1" w:styleId="ZH">
    <w:name w:val="ZH"/>
    <w:rsid w:val="00E644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4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44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4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44F"/>
    <w:pPr>
      <w:framePr w:wrap="notBeside" w:y="16161"/>
    </w:pPr>
  </w:style>
  <w:style w:type="paragraph" w:customStyle="1" w:styleId="FP">
    <w:name w:val="FP"/>
    <w:basedOn w:val="Normal"/>
    <w:rsid w:val="00E6444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6444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44F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6444F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CommentTextChar">
    <w:name w:val="Comment Text Char"/>
    <w:link w:val="CommentText"/>
    <w:rsid w:val="00BA1423"/>
    <w:rPr>
      <w:rFonts w:ascii="Times New Roman" w:hAnsi="Times New Roman"/>
      <w:lang w:val="en-GB" w:eastAsia="zh-CN"/>
    </w:rPr>
  </w:style>
  <w:style w:type="character" w:customStyle="1" w:styleId="B10">
    <w:name w:val="B1 (文字)"/>
    <w:link w:val="B1"/>
    <w:locked/>
    <w:rsid w:val="0093366A"/>
    <w:rPr>
      <w:rFonts w:ascii="Times New Roman" w:hAnsi="Times New Roman"/>
      <w:lang w:val="en-GB"/>
    </w:rPr>
  </w:style>
  <w:style w:type="character" w:customStyle="1" w:styleId="B1Char1">
    <w:name w:val="B1 Char1"/>
    <w:rsid w:val="00D177D8"/>
    <w:rPr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07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3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0.bin"/><Relationship Id="rId50" Type="http://schemas.openxmlformats.org/officeDocument/2006/relationships/image" Target="media/image17.wmf"/><Relationship Id="rId55" Type="http://schemas.openxmlformats.org/officeDocument/2006/relationships/image" Target="media/image19.wmf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7.bin"/><Relationship Id="rId84" Type="http://schemas.openxmlformats.org/officeDocument/2006/relationships/oleObject" Target="embeddings/oleObject42.bin"/><Relationship Id="rId89" Type="http://schemas.openxmlformats.org/officeDocument/2006/relationships/fontTable" Target="fontTable.xml"/><Relationship Id="rId7" Type="http://schemas.openxmlformats.org/officeDocument/2006/relationships/numbering" Target="numbering.xml"/><Relationship Id="rId71" Type="http://schemas.openxmlformats.org/officeDocument/2006/relationships/image" Target="media/image25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image" Target="media/image8.wmf"/><Relationship Id="rId11" Type="http://schemas.openxmlformats.org/officeDocument/2006/relationships/footnotes" Target="foot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5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6.bin"/><Relationship Id="rId66" Type="http://schemas.openxmlformats.org/officeDocument/2006/relationships/image" Target="media/image24.wmf"/><Relationship Id="rId74" Type="http://schemas.openxmlformats.org/officeDocument/2006/relationships/oleObject" Target="embeddings/oleObject36.bin"/><Relationship Id="rId79" Type="http://schemas.openxmlformats.org/officeDocument/2006/relationships/image" Target="media/image29.wmf"/><Relationship Id="rId87" Type="http://schemas.openxmlformats.org/officeDocument/2006/relationships/header" Target="header1.xml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0.wmf"/><Relationship Id="rId90" Type="http://schemas.openxmlformats.org/officeDocument/2006/relationships/theme" Target="theme/theme1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6.wmf"/><Relationship Id="rId56" Type="http://schemas.openxmlformats.org/officeDocument/2006/relationships/oleObject" Target="embeddings/oleObject25.bin"/><Relationship Id="rId64" Type="http://schemas.openxmlformats.org/officeDocument/2006/relationships/image" Target="media/image23.wmf"/><Relationship Id="rId69" Type="http://schemas.openxmlformats.org/officeDocument/2006/relationships/oleObject" Target="embeddings/oleObject33.bin"/><Relationship Id="rId77" Type="http://schemas.openxmlformats.org/officeDocument/2006/relationships/image" Target="media/image28.wmf"/><Relationship Id="rId8" Type="http://schemas.openxmlformats.org/officeDocument/2006/relationships/styles" Target="styl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3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4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2.wmf"/><Relationship Id="rId70" Type="http://schemas.openxmlformats.org/officeDocument/2006/relationships/oleObject" Target="embeddings/oleObject34.bin"/><Relationship Id="rId75" Type="http://schemas.openxmlformats.org/officeDocument/2006/relationships/image" Target="media/image27.wmf"/><Relationship Id="rId83" Type="http://schemas.openxmlformats.org/officeDocument/2006/relationships/oleObject" Target="embeddings/oleObject41.bin"/><Relationship Id="rId88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0.wmf"/><Relationship Id="rId10" Type="http://schemas.openxmlformats.org/officeDocument/2006/relationships/webSettings" Target="webSettings.xml"/><Relationship Id="rId31" Type="http://schemas.openxmlformats.org/officeDocument/2006/relationships/image" Target="media/image9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1.wmf"/><Relationship Id="rId65" Type="http://schemas.openxmlformats.org/officeDocument/2006/relationships/oleObject" Target="embeddings/oleObject30.bin"/><Relationship Id="rId73" Type="http://schemas.openxmlformats.org/officeDocument/2006/relationships/image" Target="media/image26.wmf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A51D9A1E-ED7B-48D0-BA95-5382B5E8F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921</TotalTime>
  <Pages>4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ERICSSON</cp:lastModifiedBy>
  <cp:revision>54</cp:revision>
  <cp:lastPrinted>2008-01-31T15:09:00Z</cp:lastPrinted>
  <dcterms:created xsi:type="dcterms:W3CDTF">2018-01-05T14:46:00Z</dcterms:created>
  <dcterms:modified xsi:type="dcterms:W3CDTF">2018-01-13T03:01:00Z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